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E09A" w14:textId="22FEE5A0" w:rsidR="00D75830" w:rsidRPr="004B4DD3" w:rsidRDefault="0081609C" w:rsidP="004B4DD3">
      <w:pPr>
        <w:pStyle w:val="Heading1"/>
      </w:pPr>
      <w:bookmarkStart w:id="0" w:name="_Toc127850927"/>
      <w:r>
        <w:rPr>
          <w:noProof/>
        </w:rPr>
        <mc:AlternateContent>
          <mc:Choice Requires="wps">
            <w:drawing>
              <wp:anchor distT="0" distB="0" distL="114300" distR="114300" simplePos="0" relativeHeight="251660288" behindDoc="0" locked="0" layoutInCell="1" allowOverlap="1" wp14:anchorId="40D90B62" wp14:editId="4F012214">
                <wp:simplePos x="0" y="0"/>
                <wp:positionH relativeFrom="column">
                  <wp:posOffset>-142875</wp:posOffset>
                </wp:positionH>
                <wp:positionV relativeFrom="paragraph">
                  <wp:posOffset>685800</wp:posOffset>
                </wp:positionV>
                <wp:extent cx="5557520" cy="3431540"/>
                <wp:effectExtent l="0" t="0" r="30480" b="22860"/>
                <wp:wrapTight wrapText="bothSides">
                  <wp:wrapPolygon edited="0">
                    <wp:start x="0" y="0"/>
                    <wp:lineTo x="0" y="21584"/>
                    <wp:lineTo x="21620" y="21584"/>
                    <wp:lineTo x="2162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34315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BF1143" w14:textId="71E2A4B8" w:rsidR="006C7EAF" w:rsidRPr="00150271" w:rsidRDefault="00536012" w:rsidP="00D75830">
                            <w:pPr>
                              <w:rPr>
                                <w:rFonts w:ascii="Cambria" w:hAnsi="Cambria"/>
                                <w:u w:val="single"/>
                              </w:rPr>
                            </w:pPr>
                            <w:r>
                              <w:rPr>
                                <w:rFonts w:ascii="Cambria" w:hAnsi="Cambria"/>
                                <w:u w:val="single"/>
                              </w:rPr>
                              <w:t>Competition: trader behavior</w:t>
                            </w:r>
                          </w:p>
                          <w:p w14:paraId="2D4CE17E" w14:textId="5A747869" w:rsidR="006C7EAF" w:rsidRDefault="006C7EAF" w:rsidP="00634482">
                            <w:pPr>
                              <w:pStyle w:val="ListParagraph"/>
                              <w:numPr>
                                <w:ilvl w:val="0"/>
                                <w:numId w:val="3"/>
                              </w:numPr>
                              <w:rPr>
                                <w:rFonts w:ascii="Cambria" w:hAnsi="Cambria"/>
                              </w:rPr>
                            </w:pPr>
                            <w:r>
                              <w:rPr>
                                <w:rFonts w:ascii="Cambria" w:hAnsi="Cambria"/>
                              </w:rPr>
                              <w:t>Imperfect competition</w:t>
                            </w:r>
                          </w:p>
                          <w:p w14:paraId="2F7B48D4" w14:textId="27A5A703" w:rsidR="006C7EAF" w:rsidRDefault="006C7EAF" w:rsidP="00634482">
                            <w:pPr>
                              <w:pStyle w:val="ListParagraph"/>
                              <w:numPr>
                                <w:ilvl w:val="0"/>
                                <w:numId w:val="3"/>
                              </w:numPr>
                              <w:rPr>
                                <w:rFonts w:ascii="Cambria" w:hAnsi="Cambria"/>
                              </w:rPr>
                            </w:pPr>
                            <w:r>
                              <w:rPr>
                                <w:rFonts w:ascii="Cambria" w:hAnsi="Cambria"/>
                              </w:rPr>
                              <w:t>Barriers to entry</w:t>
                            </w:r>
                          </w:p>
                          <w:p w14:paraId="7973619B" w14:textId="413C2CC9" w:rsidR="006C7EAF" w:rsidRDefault="006C7EAF" w:rsidP="00634482">
                            <w:pPr>
                              <w:pStyle w:val="ListParagraph"/>
                              <w:numPr>
                                <w:ilvl w:val="0"/>
                                <w:numId w:val="3"/>
                              </w:numPr>
                              <w:rPr>
                                <w:rFonts w:ascii="Cambria" w:hAnsi="Cambria"/>
                              </w:rPr>
                            </w:pPr>
                            <w:r>
                              <w:rPr>
                                <w:rFonts w:ascii="Cambria" w:hAnsi="Cambria"/>
                              </w:rPr>
                              <w:t>Structure, conduct, and performance</w:t>
                            </w:r>
                          </w:p>
                          <w:p w14:paraId="0751C97E" w14:textId="77777777" w:rsidR="006C7EAF" w:rsidRDefault="006C7EAF" w:rsidP="00F81283">
                            <w:pPr>
                              <w:pStyle w:val="ListParagraph"/>
                              <w:numPr>
                                <w:ilvl w:val="0"/>
                                <w:numId w:val="3"/>
                              </w:numPr>
                              <w:rPr>
                                <w:rFonts w:ascii="Cambria" w:hAnsi="Cambria"/>
                              </w:rPr>
                            </w:pPr>
                            <w:r w:rsidRPr="00662168">
                              <w:rPr>
                                <w:rFonts w:eastAsia="Times New Roman" w:cs="Arial"/>
                              </w:rPr>
                              <w:t>CR</w:t>
                            </w:r>
                            <w:r w:rsidRPr="00A82A78">
                              <w:rPr>
                                <w:rFonts w:eastAsia="Times New Roman" w:cs="Arial"/>
                                <w:vertAlign w:val="subscript"/>
                              </w:rPr>
                              <w:t>4</w:t>
                            </w:r>
                            <w:r>
                              <w:rPr>
                                <w:rFonts w:eastAsia="Times New Roman" w:cs="Arial"/>
                                <w:vertAlign w:val="subscript"/>
                              </w:rPr>
                              <w:t xml:space="preserve"> </w:t>
                            </w:r>
                            <w:r>
                              <w:rPr>
                                <w:rFonts w:ascii="Cambria" w:hAnsi="Cambria"/>
                              </w:rPr>
                              <w:t xml:space="preserve">and HHI </w:t>
                            </w:r>
                          </w:p>
                          <w:p w14:paraId="3F5F526C" w14:textId="77777777" w:rsidR="006C7EAF" w:rsidRPr="00150271" w:rsidRDefault="006C7EAF" w:rsidP="008A2F78">
                            <w:pPr>
                              <w:rPr>
                                <w:rFonts w:ascii="Cambria" w:hAnsi="Cambria"/>
                              </w:rPr>
                            </w:pPr>
                          </w:p>
                          <w:p w14:paraId="46E9BD58" w14:textId="77777777" w:rsidR="006C7EAF" w:rsidRPr="00150271" w:rsidRDefault="006C7EAF" w:rsidP="008A2F78">
                            <w:pPr>
                              <w:rPr>
                                <w:rFonts w:ascii="Cambria" w:hAnsi="Cambria"/>
                                <w:i/>
                              </w:rPr>
                            </w:pPr>
                            <w:r w:rsidRPr="00150271">
                              <w:rPr>
                                <w:rFonts w:ascii="Cambria" w:hAnsi="Cambria"/>
                                <w:i/>
                              </w:rPr>
                              <w:t>Readings</w:t>
                            </w:r>
                          </w:p>
                          <w:p w14:paraId="1011B715" w14:textId="4D721CC2" w:rsidR="006C7EAF" w:rsidRPr="00A33819" w:rsidRDefault="006C7EAF" w:rsidP="00634482">
                            <w:pPr>
                              <w:pStyle w:val="ListParagraph"/>
                              <w:numPr>
                                <w:ilvl w:val="0"/>
                                <w:numId w:val="1"/>
                              </w:numPr>
                              <w:rPr>
                                <w:rFonts w:ascii="Cambria" w:hAnsi="Cambria"/>
                              </w:rPr>
                            </w:pPr>
                            <w:proofErr w:type="spellStart"/>
                            <w:r w:rsidRPr="00150271">
                              <w:rPr>
                                <w:rFonts w:ascii="Cambria" w:hAnsi="Cambria"/>
                              </w:rPr>
                              <w:t>Timmer</w:t>
                            </w:r>
                            <w:proofErr w:type="spellEnd"/>
                            <w:r w:rsidRPr="00150271">
                              <w:rPr>
                                <w:rFonts w:ascii="Cambria" w:hAnsi="Cambria"/>
                              </w:rPr>
                              <w:t xml:space="preserve">, C. P., W.D. Falcon, and S.R. Pearson (1983) </w:t>
                            </w:r>
                            <w:r w:rsidRPr="0066492C">
                              <w:rPr>
                                <w:rFonts w:ascii="Cambria" w:hAnsi="Cambria"/>
                                <w:i/>
                              </w:rPr>
                              <w:t>Food Policy Analysis</w:t>
                            </w:r>
                            <w:r w:rsidRPr="00150271">
                              <w:rPr>
                                <w:rFonts w:ascii="Cambria" w:hAnsi="Cambria"/>
                              </w:rPr>
                              <w:t>. Baltimore: Johns Hopkins University Press: chapter 4, “Marketing Functions, Mar</w:t>
                            </w:r>
                            <w:r w:rsidR="00536012">
                              <w:rPr>
                                <w:rFonts w:ascii="Cambria" w:hAnsi="Cambria"/>
                              </w:rPr>
                              <w:t xml:space="preserve">kets, and Food Price Formation.” </w:t>
                            </w:r>
                            <w:hyperlink r:id="rId9" w:history="1">
                              <w:r w:rsidR="00536012" w:rsidRPr="00F15C89">
                                <w:rPr>
                                  <w:rStyle w:val="Hyperlink"/>
                                  <w:rFonts w:ascii="Cambria" w:hAnsi="Cambria"/>
                                </w:rPr>
                                <w:t>http://www.stanford.edu/group/FRI/indonesia/documents/foodpolicy/fronttoc.fm.html</w:t>
                              </w:r>
                            </w:hyperlink>
                          </w:p>
                          <w:p w14:paraId="12A95981" w14:textId="77777777" w:rsidR="006C7EAF" w:rsidRDefault="006C7EAF" w:rsidP="008A2F78">
                            <w:pPr>
                              <w:rPr>
                                <w:rFonts w:ascii="Cambria" w:hAnsi="Cambria"/>
                                <w:i/>
                              </w:rPr>
                            </w:pPr>
                          </w:p>
                          <w:p w14:paraId="05DB582C" w14:textId="77777777" w:rsidR="006C7EAF" w:rsidRPr="006A1451" w:rsidRDefault="006C7EAF" w:rsidP="008A2F78">
                            <w:pPr>
                              <w:rPr>
                                <w:rFonts w:ascii="Cambria" w:hAnsi="Cambria"/>
                                <w:i/>
                              </w:rPr>
                            </w:pPr>
                            <w:r>
                              <w:rPr>
                                <w:rFonts w:ascii="Cambria" w:hAnsi="Cambria"/>
                                <w:i/>
                              </w:rPr>
                              <w:t>Supplementary Readings</w:t>
                            </w:r>
                          </w:p>
                          <w:p w14:paraId="7AED8CB9" w14:textId="77777777" w:rsidR="00692D25" w:rsidRDefault="006C7EAF" w:rsidP="00781AC6">
                            <w:pPr>
                              <w:pStyle w:val="ListParagraph"/>
                              <w:numPr>
                                <w:ilvl w:val="0"/>
                                <w:numId w:val="1"/>
                              </w:numPr>
                              <w:jc w:val="both"/>
                            </w:pPr>
                            <w:r w:rsidRPr="00150271">
                              <w:rPr>
                                <w:rFonts w:ascii="Cambria" w:hAnsi="Cambria"/>
                              </w:rPr>
                              <w:t xml:space="preserve">Barrett, Christopher B. 1997. “Food Marketing Liberalization and Trader Entry: Evidence from Madagascar,” </w:t>
                            </w:r>
                            <w:r w:rsidRPr="0066492C">
                              <w:rPr>
                                <w:rFonts w:ascii="Cambria" w:hAnsi="Cambria"/>
                                <w:i/>
                              </w:rPr>
                              <w:t>World Development</w:t>
                            </w:r>
                            <w:r w:rsidRPr="00150271">
                              <w:rPr>
                                <w:rFonts w:ascii="Cambria" w:hAnsi="Cambria"/>
                              </w:rPr>
                              <w:t>, 25(5): 763-777.</w:t>
                            </w:r>
                            <w:r w:rsidR="00692D25">
                              <w:rPr>
                                <w:rFonts w:ascii="Cambria" w:hAnsi="Cambria"/>
                              </w:rPr>
                              <w:t xml:space="preserve"> </w:t>
                            </w:r>
                            <w:hyperlink r:id="rId10" w:history="1">
                              <w:proofErr w:type="gramStart"/>
                              <w:r w:rsidR="00692D25">
                                <w:rPr>
                                  <w:rStyle w:val="Hyperlink"/>
                                </w:rPr>
                                <w:t>doi:10.1016</w:t>
                              </w:r>
                              <w:proofErr w:type="gramEnd"/>
                              <w:r w:rsidR="00692D25">
                                <w:rPr>
                                  <w:rStyle w:val="Hyperlink"/>
                                </w:rPr>
                                <w:t>/S0305-750X(96)00132-5</w:t>
                              </w:r>
                            </w:hyperlink>
                            <w:r w:rsidR="00692D25">
                              <w:t xml:space="preserve"> </w:t>
                            </w:r>
                          </w:p>
                          <w:p w14:paraId="4AD24D33" w14:textId="4A31FE17" w:rsidR="006C7EAF" w:rsidRPr="00150271" w:rsidRDefault="006C7EAF" w:rsidP="00781AC6">
                            <w:pPr>
                              <w:pStyle w:val="ListParagraph"/>
                              <w:jc w:val="both"/>
                              <w:rPr>
                                <w:rFonts w:ascii="Cambria" w:hAnsi="Cambria"/>
                              </w:rPr>
                            </w:pPr>
                          </w:p>
                          <w:p w14:paraId="00E886BB" w14:textId="77777777" w:rsidR="006C7EAF" w:rsidRPr="003F095A" w:rsidRDefault="006C7EAF" w:rsidP="00D75830">
                            <w:pPr>
                              <w:ind w:left="360"/>
                              <w:rPr>
                                <w:rFonts w:ascii="Cambria" w:hAnsi="Cambri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2pt;margin-top:54pt;width:437.6pt;height:2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" filled="f" strokecolor="black [3213]">
                <v:textbox inset=",7.2pt,,7.2pt">
                  <w:txbxContent>
                    <w:p w14:paraId="30BF1143" w14:textId="71E2A4B8" w:rsidR="006C7EAF" w:rsidRPr="00150271" w:rsidRDefault="00536012" w:rsidP="00D75830">
                      <w:pPr>
                        <w:rPr>
                          <w:rFonts w:ascii="Cambria" w:hAnsi="Cambria"/>
                          <w:u w:val="single"/>
                        </w:rPr>
                      </w:pPr>
                      <w:r>
                        <w:rPr>
                          <w:rFonts w:ascii="Cambria" w:hAnsi="Cambria"/>
                          <w:u w:val="single"/>
                        </w:rPr>
                        <w:t>Competition: trader behavior</w:t>
                      </w:r>
                    </w:p>
                    <w:p w14:paraId="2D4CE17E" w14:textId="5A747869" w:rsidR="006C7EAF" w:rsidRDefault="006C7EAF" w:rsidP="00634482">
                      <w:pPr>
                        <w:pStyle w:val="ListParagraph"/>
                        <w:numPr>
                          <w:ilvl w:val="0"/>
                          <w:numId w:val="3"/>
                        </w:numPr>
                        <w:rPr>
                          <w:rFonts w:ascii="Cambria" w:hAnsi="Cambria"/>
                        </w:rPr>
                      </w:pPr>
                      <w:r>
                        <w:rPr>
                          <w:rFonts w:ascii="Cambria" w:hAnsi="Cambria"/>
                        </w:rPr>
                        <w:t>Imperfect competition</w:t>
                      </w:r>
                    </w:p>
                    <w:p w14:paraId="2F7B48D4" w14:textId="27A5A703" w:rsidR="006C7EAF" w:rsidRDefault="006C7EAF" w:rsidP="00634482">
                      <w:pPr>
                        <w:pStyle w:val="ListParagraph"/>
                        <w:numPr>
                          <w:ilvl w:val="0"/>
                          <w:numId w:val="3"/>
                        </w:numPr>
                        <w:rPr>
                          <w:rFonts w:ascii="Cambria" w:hAnsi="Cambria"/>
                        </w:rPr>
                      </w:pPr>
                      <w:r>
                        <w:rPr>
                          <w:rFonts w:ascii="Cambria" w:hAnsi="Cambria"/>
                        </w:rPr>
                        <w:t>Barriers to entry</w:t>
                      </w:r>
                    </w:p>
                    <w:p w14:paraId="7973619B" w14:textId="413C2CC9" w:rsidR="006C7EAF" w:rsidRDefault="006C7EAF" w:rsidP="00634482">
                      <w:pPr>
                        <w:pStyle w:val="ListParagraph"/>
                        <w:numPr>
                          <w:ilvl w:val="0"/>
                          <w:numId w:val="3"/>
                        </w:numPr>
                        <w:rPr>
                          <w:rFonts w:ascii="Cambria" w:hAnsi="Cambria"/>
                        </w:rPr>
                      </w:pPr>
                      <w:r>
                        <w:rPr>
                          <w:rFonts w:ascii="Cambria" w:hAnsi="Cambria"/>
                        </w:rPr>
                        <w:t>Structure, conduct, and performance</w:t>
                      </w:r>
                    </w:p>
                    <w:p w14:paraId="0751C97E" w14:textId="77777777" w:rsidR="006C7EAF" w:rsidRDefault="006C7EAF" w:rsidP="00F81283">
                      <w:pPr>
                        <w:pStyle w:val="ListParagraph"/>
                        <w:numPr>
                          <w:ilvl w:val="0"/>
                          <w:numId w:val="3"/>
                        </w:numPr>
                        <w:rPr>
                          <w:rFonts w:ascii="Cambria" w:hAnsi="Cambria"/>
                        </w:rPr>
                      </w:pPr>
                      <w:r w:rsidRPr="00662168">
                        <w:rPr>
                          <w:rFonts w:eastAsia="Times New Roman" w:cs="Arial"/>
                        </w:rPr>
                        <w:t>CR</w:t>
                      </w:r>
                      <w:r w:rsidRPr="00A82A78">
                        <w:rPr>
                          <w:rFonts w:eastAsia="Times New Roman" w:cs="Arial"/>
                          <w:vertAlign w:val="subscript"/>
                        </w:rPr>
                        <w:t>4</w:t>
                      </w:r>
                      <w:r>
                        <w:rPr>
                          <w:rFonts w:eastAsia="Times New Roman" w:cs="Arial"/>
                          <w:vertAlign w:val="subscript"/>
                        </w:rPr>
                        <w:t xml:space="preserve"> </w:t>
                      </w:r>
                      <w:r>
                        <w:rPr>
                          <w:rFonts w:ascii="Cambria" w:hAnsi="Cambria"/>
                        </w:rPr>
                        <w:t xml:space="preserve">and HHI </w:t>
                      </w:r>
                    </w:p>
                    <w:p w14:paraId="3F5F526C" w14:textId="77777777" w:rsidR="006C7EAF" w:rsidRPr="00150271" w:rsidRDefault="006C7EAF" w:rsidP="008A2F78">
                      <w:pPr>
                        <w:rPr>
                          <w:rFonts w:ascii="Cambria" w:hAnsi="Cambria"/>
                        </w:rPr>
                      </w:pPr>
                    </w:p>
                    <w:p w14:paraId="46E9BD58" w14:textId="77777777" w:rsidR="006C7EAF" w:rsidRPr="00150271" w:rsidRDefault="006C7EAF" w:rsidP="008A2F78">
                      <w:pPr>
                        <w:rPr>
                          <w:rFonts w:ascii="Cambria" w:hAnsi="Cambria"/>
                          <w:i/>
                        </w:rPr>
                      </w:pPr>
                      <w:r w:rsidRPr="00150271">
                        <w:rPr>
                          <w:rFonts w:ascii="Cambria" w:hAnsi="Cambria"/>
                          <w:i/>
                        </w:rPr>
                        <w:t>Readings</w:t>
                      </w:r>
                    </w:p>
                    <w:p w14:paraId="1011B715" w14:textId="4D721CC2" w:rsidR="006C7EAF" w:rsidRPr="00A33819" w:rsidRDefault="006C7EAF" w:rsidP="00634482">
                      <w:pPr>
                        <w:pStyle w:val="ListParagraph"/>
                        <w:numPr>
                          <w:ilvl w:val="0"/>
                          <w:numId w:val="1"/>
                        </w:numPr>
                        <w:rPr>
                          <w:rFonts w:ascii="Cambria" w:hAnsi="Cambria"/>
                        </w:rPr>
                      </w:pPr>
                      <w:proofErr w:type="spellStart"/>
                      <w:r w:rsidRPr="00150271">
                        <w:rPr>
                          <w:rFonts w:ascii="Cambria" w:hAnsi="Cambria"/>
                        </w:rPr>
                        <w:t>Timmer</w:t>
                      </w:r>
                      <w:proofErr w:type="spellEnd"/>
                      <w:r w:rsidRPr="00150271">
                        <w:rPr>
                          <w:rFonts w:ascii="Cambria" w:hAnsi="Cambria"/>
                        </w:rPr>
                        <w:t xml:space="preserve">, C. P., W.D. Falcon, and S.R. Pearson (1983) </w:t>
                      </w:r>
                      <w:r w:rsidRPr="0066492C">
                        <w:rPr>
                          <w:rFonts w:ascii="Cambria" w:hAnsi="Cambria"/>
                          <w:i/>
                        </w:rPr>
                        <w:t>Food Policy Analysis</w:t>
                      </w:r>
                      <w:r w:rsidRPr="00150271">
                        <w:rPr>
                          <w:rFonts w:ascii="Cambria" w:hAnsi="Cambria"/>
                        </w:rPr>
                        <w:t>. Baltimore: Johns Hopkins University Press: chapter 4, “Marketing Functions, Mar</w:t>
                      </w:r>
                      <w:r w:rsidR="00536012">
                        <w:rPr>
                          <w:rFonts w:ascii="Cambria" w:hAnsi="Cambria"/>
                        </w:rPr>
                        <w:t xml:space="preserve">kets, and Food Price Formation.” </w:t>
                      </w:r>
                      <w:hyperlink r:id="rId11" w:history="1">
                        <w:r w:rsidR="00536012" w:rsidRPr="00F15C89">
                          <w:rPr>
                            <w:rStyle w:val="Hyperlink"/>
                            <w:rFonts w:ascii="Cambria" w:hAnsi="Cambria"/>
                          </w:rPr>
                          <w:t>http://www.stanford.edu/group/FRI/indonesia/documents/foodpolicy/fronttoc.fm.html</w:t>
                        </w:r>
                      </w:hyperlink>
                    </w:p>
                    <w:p w14:paraId="12A95981" w14:textId="77777777" w:rsidR="006C7EAF" w:rsidRDefault="006C7EAF" w:rsidP="008A2F78">
                      <w:pPr>
                        <w:rPr>
                          <w:rFonts w:ascii="Cambria" w:hAnsi="Cambria"/>
                          <w:i/>
                        </w:rPr>
                      </w:pPr>
                    </w:p>
                    <w:p w14:paraId="05DB582C" w14:textId="77777777" w:rsidR="006C7EAF" w:rsidRPr="006A1451" w:rsidRDefault="006C7EAF" w:rsidP="008A2F78">
                      <w:pPr>
                        <w:rPr>
                          <w:rFonts w:ascii="Cambria" w:hAnsi="Cambria"/>
                          <w:i/>
                        </w:rPr>
                      </w:pPr>
                      <w:r>
                        <w:rPr>
                          <w:rFonts w:ascii="Cambria" w:hAnsi="Cambria"/>
                          <w:i/>
                        </w:rPr>
                        <w:t>Supplementary Readings</w:t>
                      </w:r>
                    </w:p>
                    <w:p w14:paraId="7AED8CB9" w14:textId="77777777" w:rsidR="00692D25" w:rsidRDefault="006C7EAF" w:rsidP="00781AC6">
                      <w:pPr>
                        <w:pStyle w:val="ListParagraph"/>
                        <w:numPr>
                          <w:ilvl w:val="0"/>
                          <w:numId w:val="1"/>
                        </w:numPr>
                        <w:jc w:val="both"/>
                      </w:pPr>
                      <w:r w:rsidRPr="00150271">
                        <w:rPr>
                          <w:rFonts w:ascii="Cambria" w:hAnsi="Cambria"/>
                        </w:rPr>
                        <w:t xml:space="preserve">Barrett, Christopher B. 1997. “Food Marketing Liberalization and Trader Entry: Evidence from Madagascar,” </w:t>
                      </w:r>
                      <w:r w:rsidRPr="0066492C">
                        <w:rPr>
                          <w:rFonts w:ascii="Cambria" w:hAnsi="Cambria"/>
                          <w:i/>
                        </w:rPr>
                        <w:t>World Development</w:t>
                      </w:r>
                      <w:r w:rsidRPr="00150271">
                        <w:rPr>
                          <w:rFonts w:ascii="Cambria" w:hAnsi="Cambria"/>
                        </w:rPr>
                        <w:t>, 25(5): 763-777.</w:t>
                      </w:r>
                      <w:r w:rsidR="00692D25">
                        <w:rPr>
                          <w:rFonts w:ascii="Cambria" w:hAnsi="Cambria"/>
                        </w:rPr>
                        <w:t xml:space="preserve"> </w:t>
                      </w:r>
                      <w:hyperlink r:id="rId12" w:history="1">
                        <w:proofErr w:type="gramStart"/>
                        <w:r w:rsidR="00692D25">
                          <w:rPr>
                            <w:rStyle w:val="Hyperlink"/>
                          </w:rPr>
                          <w:t>doi:10.1016</w:t>
                        </w:r>
                        <w:proofErr w:type="gramEnd"/>
                        <w:r w:rsidR="00692D25">
                          <w:rPr>
                            <w:rStyle w:val="Hyperlink"/>
                          </w:rPr>
                          <w:t>/S0305-750X(96)00132-5</w:t>
                        </w:r>
                      </w:hyperlink>
                      <w:r w:rsidR="00692D25">
                        <w:t xml:space="preserve"> </w:t>
                      </w:r>
                    </w:p>
                    <w:p w14:paraId="4AD24D33" w14:textId="4A31FE17" w:rsidR="006C7EAF" w:rsidRPr="00150271" w:rsidRDefault="006C7EAF" w:rsidP="00781AC6">
                      <w:pPr>
                        <w:pStyle w:val="ListParagraph"/>
                        <w:jc w:val="both"/>
                        <w:rPr>
                          <w:rFonts w:ascii="Cambria" w:hAnsi="Cambria"/>
                        </w:rPr>
                      </w:pPr>
                    </w:p>
                    <w:p w14:paraId="00E886BB" w14:textId="77777777" w:rsidR="006C7EAF" w:rsidRPr="003F095A" w:rsidRDefault="006C7EAF" w:rsidP="00D75830">
                      <w:pPr>
                        <w:ind w:left="360"/>
                        <w:rPr>
                          <w:rFonts w:ascii="Cambria" w:hAnsi="Cambria"/>
                        </w:rPr>
                      </w:pPr>
                    </w:p>
                  </w:txbxContent>
                </v:textbox>
                <w10:wrap type="tight"/>
              </v:shape>
            </w:pict>
          </mc:Fallback>
        </mc:AlternateContent>
      </w:r>
      <w:r w:rsidR="00EF4D43">
        <w:t>Lecture 10</w:t>
      </w:r>
      <w:r w:rsidR="008A2F78">
        <w:t>: Competition</w:t>
      </w:r>
      <w:bookmarkEnd w:id="0"/>
      <w:r w:rsidR="00536012">
        <w:t>:</w:t>
      </w:r>
      <w:r w:rsidR="00EF4D43">
        <w:t xml:space="preserve"> trader behavior</w:t>
      </w:r>
    </w:p>
    <w:p w14:paraId="005B20D5" w14:textId="77777777" w:rsidR="00AC74EC" w:rsidRDefault="00AC74EC" w:rsidP="00D75830">
      <w:pPr>
        <w:pStyle w:val="TOC2"/>
        <w:rPr>
          <w:b w:val="0"/>
        </w:rPr>
      </w:pPr>
    </w:p>
    <w:p w14:paraId="43073749" w14:textId="71A388AF" w:rsidR="000C03AB" w:rsidRDefault="00AC74EC" w:rsidP="00AC74EC">
      <w:r>
        <w:t xml:space="preserve">Last time we </w:t>
      </w:r>
      <w:r w:rsidR="008A2F78">
        <w:t xml:space="preserve">discussed supply chains and the structure of the </w:t>
      </w:r>
      <w:proofErr w:type="gramStart"/>
      <w:r w:rsidR="008A2F78">
        <w:t>food marketing</w:t>
      </w:r>
      <w:proofErr w:type="gramEnd"/>
      <w:r w:rsidR="008A2F78">
        <w:t xml:space="preserve"> channel and how </w:t>
      </w:r>
      <w:r w:rsidR="00866965">
        <w:t xml:space="preserve">they </w:t>
      </w:r>
      <w:r w:rsidR="008A2F78">
        <w:t xml:space="preserve">might affect food insecurity response by external agencies. The emphasis was, in particular, on breaking down the costs of commerce to compute marketing margins for wholesalers who deliver into a target market.  </w:t>
      </w:r>
      <w:r w:rsidR="000C03AB">
        <w:t xml:space="preserve">The fundamental assumption </w:t>
      </w:r>
      <w:r w:rsidR="00866965">
        <w:t xml:space="preserve">underlying </w:t>
      </w:r>
      <w:r w:rsidR="000C03AB">
        <w:t>marketing margins analysis is</w:t>
      </w:r>
      <w:r w:rsidR="00866965">
        <w:t xml:space="preserve"> that competitive markets tend towards</w:t>
      </w:r>
      <w:r w:rsidR="000C03AB">
        <w:t xml:space="preserve"> long-run competitive equilibrium</w:t>
      </w:r>
      <w:r w:rsidR="00866965">
        <w:t>, which means</w:t>
      </w:r>
      <w:r w:rsidR="000C03AB">
        <w:t xml:space="preserve"> that firms can enter and exit freely </w:t>
      </w:r>
      <w:r w:rsidR="00866965">
        <w:t>such</w:t>
      </w:r>
      <w:r w:rsidR="000C03AB">
        <w:t xml:space="preserve"> that over an extended period of time competitive pressures flush inefficient traders and excess profits from the system and drive </w:t>
      </w:r>
      <w:proofErr w:type="spellStart"/>
      <w:r w:rsidR="000C03AB">
        <w:t>intermarket</w:t>
      </w:r>
      <w:proofErr w:type="spellEnd"/>
      <w:r w:rsidR="000C03AB">
        <w:t xml:space="preserve"> price differences down to the lowest possible costs of arbitrage between those markets. In </w:t>
      </w:r>
      <w:r w:rsidR="00866965">
        <w:t xml:space="preserve">a </w:t>
      </w:r>
      <w:r w:rsidR="000C03AB">
        <w:t xml:space="preserve">perfectly competitive marketplace, firms cannot exert power over pricing because </w:t>
      </w:r>
      <w:proofErr w:type="gramStart"/>
      <w:r w:rsidR="000C03AB">
        <w:t>they would quickly be undercut by a competitor</w:t>
      </w:r>
      <w:proofErr w:type="gramEnd"/>
      <w:r w:rsidR="000C03AB">
        <w:t>.</w:t>
      </w:r>
    </w:p>
    <w:p w14:paraId="06E0D64C" w14:textId="77777777" w:rsidR="000C03AB" w:rsidRDefault="000C03AB" w:rsidP="00AC74EC"/>
    <w:p w14:paraId="27470F1A" w14:textId="67FDC7DD" w:rsidR="00536012" w:rsidRPr="00536012" w:rsidRDefault="00536012" w:rsidP="00AC74EC">
      <w:pPr>
        <w:rPr>
          <w:b/>
        </w:rPr>
      </w:pPr>
      <w:r w:rsidRPr="00E47555">
        <w:rPr>
          <w:b/>
        </w:rPr>
        <w:t>The basic economics of imperfect competition</w:t>
      </w:r>
    </w:p>
    <w:p w14:paraId="7F844AC5" w14:textId="77777777" w:rsidR="005154A8" w:rsidRDefault="008A2F78" w:rsidP="00AC74EC">
      <w:r>
        <w:t xml:space="preserve">In this lecture, we </w:t>
      </w:r>
      <w:r w:rsidR="000C03AB">
        <w:t xml:space="preserve">relax the assumption of perfect competition and </w:t>
      </w:r>
      <w:r>
        <w:t xml:space="preserve">focus on trying to identify prospective bottlenecks in the food supply chain, places where “imperfect competition” might arise.  “Imperfect competition” refers to </w:t>
      </w:r>
      <w:r w:rsidR="00866965">
        <w:t xml:space="preserve">a </w:t>
      </w:r>
      <w:r>
        <w:t xml:space="preserve">situation </w:t>
      </w:r>
      <w:r w:rsidR="00866965">
        <w:t xml:space="preserve">in which </w:t>
      </w:r>
      <w:r>
        <w:t xml:space="preserve">firms can directly affect prices through their </w:t>
      </w:r>
      <w:r w:rsidR="000C03AB">
        <w:t xml:space="preserve">individual business </w:t>
      </w:r>
      <w:r>
        <w:t>decisions, either because a single monopolist</w:t>
      </w:r>
      <w:r w:rsidR="00AA05B5">
        <w:t xml:space="preserve"> </w:t>
      </w:r>
      <w:r>
        <w:t xml:space="preserve">is the </w:t>
      </w:r>
      <w:r w:rsidR="000C03AB">
        <w:t xml:space="preserve">sole seller, or because a small group of </w:t>
      </w:r>
      <w:proofErr w:type="spellStart"/>
      <w:r w:rsidR="000C03AB">
        <w:lastRenderedPageBreak/>
        <w:t>oligopolists</w:t>
      </w:r>
      <w:proofErr w:type="spellEnd"/>
      <w:r w:rsidR="000C03AB">
        <w:t xml:space="preserve"> individually control a large share of the market directly or through collusive behaviors.</w:t>
      </w:r>
      <w:r w:rsidR="00AA05B5">
        <w:rPr>
          <w:rStyle w:val="FootnoteReference"/>
        </w:rPr>
        <w:footnoteReference w:id="1"/>
      </w:r>
      <w:r w:rsidR="000C03AB">
        <w:t xml:space="preserve"> </w:t>
      </w:r>
    </w:p>
    <w:p w14:paraId="49BDD82C" w14:textId="77777777" w:rsidR="005154A8" w:rsidRDefault="005154A8" w:rsidP="00AC74EC"/>
    <w:p w14:paraId="7A89DD40" w14:textId="71D2327A" w:rsidR="003C78BC" w:rsidRDefault="000C03AB" w:rsidP="00AC74EC">
      <w:r>
        <w:t xml:space="preserve">In this setting, </w:t>
      </w:r>
      <w:r w:rsidR="005154A8">
        <w:t>firms with market power directly affect prices through sales quantity decisions. Because firms seek to maximize profits, they choose to produce a quantity where the marginal cost is equivalent to the marginal revenue. S</w:t>
      </w:r>
      <w:r>
        <w:t xml:space="preserve">ingle firms or groups of firms face the market aggregate demand curve, which is almost surely downward sloping; that is, </w:t>
      </w:r>
      <w:r w:rsidR="00D359BA">
        <w:t xml:space="preserve">aggregate </w:t>
      </w:r>
      <w:r>
        <w:t xml:space="preserve">demand is almost surely not perfectly price elastic in the overall market. If firms are maximizing profits, then they optimally choose sales and purchase volumes so that their marginal revenues equal their marginal costs. </w:t>
      </w:r>
      <w:r w:rsidR="00AC2C8C">
        <w:t xml:space="preserve">However, </w:t>
      </w:r>
      <w:r>
        <w:t xml:space="preserve">if they face a downward sloping demand curve (which depicts </w:t>
      </w:r>
      <w:r w:rsidRPr="000C03AB">
        <w:rPr>
          <w:i/>
        </w:rPr>
        <w:t>average</w:t>
      </w:r>
      <w:r>
        <w:t xml:space="preserve"> revenue, rather than marginal revenue), then </w:t>
      </w:r>
      <w:r w:rsidR="00D359BA">
        <w:t>in order to increase quantity sold, they need to reduce the price they</w:t>
      </w:r>
      <w:r>
        <w:t xml:space="preserve"> cha</w:t>
      </w:r>
      <w:r w:rsidR="00D359BA">
        <w:t>r</w:t>
      </w:r>
      <w:r>
        <w:t>ge</w:t>
      </w:r>
      <w:r w:rsidR="00D359BA">
        <w:t>; as a result</w:t>
      </w:r>
      <w:r>
        <w:t xml:space="preserve"> marginal revenues decline faster than demand. </w:t>
      </w:r>
      <w:r w:rsidR="00D359BA">
        <w:t>The more price inelastic the demand curve, the greater is that difference</w:t>
      </w:r>
      <w:r w:rsidR="005154A8">
        <w:t xml:space="preserve"> between marginal and average revenue</w:t>
      </w:r>
      <w:r w:rsidR="00B45AC2">
        <w:t xml:space="preserve">. </w:t>
      </w:r>
    </w:p>
    <w:p w14:paraId="15F9D092" w14:textId="77777777" w:rsidR="003C78BC" w:rsidRDefault="003C78BC" w:rsidP="00AC74EC"/>
    <w:p w14:paraId="0A73C8E7" w14:textId="6E824EB9" w:rsidR="007A0964" w:rsidRDefault="007A0964" w:rsidP="00AC74EC">
      <w:r w:rsidRPr="007A0964">
        <w:rPr>
          <w:b/>
          <w:bCs/>
        </w:rPr>
        <w:t>The Basics of Imperfect Competition: MC=MR&lt;AR=p*</w:t>
      </w:r>
    </w:p>
    <w:p w14:paraId="6361D45D" w14:textId="56C0A76F" w:rsidR="006C7EAF" w:rsidRDefault="007A0964" w:rsidP="00AC74EC">
      <w:r>
        <w:rPr>
          <w:noProof/>
        </w:rPr>
        <w:drawing>
          <wp:inline distT="0" distB="0" distL="0" distR="0" wp14:anchorId="37E42BF6" wp14:editId="3EECDC66">
            <wp:extent cx="5486400" cy="29629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fect competition.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2962910"/>
                    </a:xfrm>
                    <a:prstGeom prst="rect">
                      <a:avLst/>
                    </a:prstGeom>
                  </pic:spPr>
                </pic:pic>
              </a:graphicData>
            </a:graphic>
          </wp:inline>
        </w:drawing>
      </w:r>
    </w:p>
    <w:p w14:paraId="3B1CE4B4" w14:textId="77777777" w:rsidR="006C7EAF" w:rsidRDefault="006C7EAF" w:rsidP="00AC74EC"/>
    <w:p w14:paraId="5E7E9CF7" w14:textId="77777777" w:rsidR="006C7EAF" w:rsidRDefault="006C7EAF" w:rsidP="00AC74EC"/>
    <w:p w14:paraId="2BC32F4E" w14:textId="1C9CC8C2" w:rsidR="008A2F78" w:rsidRDefault="00D359BA" w:rsidP="00AC74EC">
      <w:r>
        <w:t xml:space="preserve">Because food demand tends to be relatively price inelastic, and because many interventions (e.g., food vouchers, local and regional procurement) increase the price inelasticity of demand while expanding aggregate demand, this gap can be large and increase in response to food security interventions analyzed under </w:t>
      </w:r>
      <w:r>
        <w:lastRenderedPageBreak/>
        <w:t>MIFIRA</w:t>
      </w:r>
      <w:r w:rsidR="003C78BC">
        <w:t xml:space="preserve"> if traders exert market power</w:t>
      </w:r>
      <w:r>
        <w:t>.</w:t>
      </w:r>
      <w:r w:rsidR="003C78BC">
        <w:t xml:space="preserve"> And because food markets are often segmented in remote low-income communities, especially in time of war or in the wake of natural disasters that destroy key infrastructure (e.g., bridges, ports or roads), and financial market imperfections often make it relatively more difficult for new firms to secure the capital necessary to enter into large-scale trading, local market power may arise more commonly </w:t>
      </w:r>
      <w:r w:rsidR="00AC2C8C">
        <w:t xml:space="preserve">in poor, remote communities </w:t>
      </w:r>
      <w:r w:rsidR="003C78BC">
        <w:t>than in higher-income and urban markets.</w:t>
      </w:r>
    </w:p>
    <w:p w14:paraId="79FA9B00" w14:textId="77777777" w:rsidR="008A2F78" w:rsidRDefault="008A2F78" w:rsidP="00AC74EC"/>
    <w:p w14:paraId="1E193CC6" w14:textId="77777777" w:rsidR="00A25499" w:rsidRDefault="00D359BA" w:rsidP="00AC74EC">
      <w:r>
        <w:t>The e</w:t>
      </w:r>
      <w:r w:rsidR="00612AAD">
        <w:t xml:space="preserve">conomics of imperfect competition </w:t>
      </w:r>
      <w:r w:rsidR="00AC2C8C">
        <w:t xml:space="preserve">becomes </w:t>
      </w:r>
      <w:r w:rsidR="00612AAD">
        <w:t xml:space="preserve">very technical very quickly, in a way that </w:t>
      </w:r>
      <w:r w:rsidR="003C78BC">
        <w:t>may prov</w:t>
      </w:r>
      <w:r w:rsidR="00612AAD">
        <w:t xml:space="preserve">e counterproductive for the MIFIRA analyst. </w:t>
      </w:r>
      <w:r w:rsidR="003C78BC">
        <w:t>W</w:t>
      </w:r>
      <w:r w:rsidR="00786DF8">
        <w:t xml:space="preserve">hile we need to tackle a few basics of the economics of imperfect competition, we </w:t>
      </w:r>
      <w:r w:rsidR="003C78BC">
        <w:t>avoid th</w:t>
      </w:r>
      <w:r w:rsidR="00786DF8">
        <w:t>e more technical</w:t>
      </w:r>
      <w:r w:rsidR="003C78BC">
        <w:t xml:space="preserve"> digressions here. </w:t>
      </w:r>
      <w:r w:rsidR="00612AAD">
        <w:t>But the core findings and intuition of the empirical literature on imperfect competition can be productively used to help address a few key questions in the MIFIRA decision tree sequence:</w:t>
      </w:r>
    </w:p>
    <w:p w14:paraId="493D2F74" w14:textId="77777777" w:rsidR="00612AAD" w:rsidRDefault="00612AAD" w:rsidP="00612AAD">
      <w:pPr>
        <w:rPr>
          <w:i/>
        </w:rPr>
      </w:pPr>
    </w:p>
    <w:p w14:paraId="4B523F78" w14:textId="77777777" w:rsidR="00612AAD" w:rsidRPr="00746EA1" w:rsidRDefault="00612AAD" w:rsidP="00612AAD">
      <w:pPr>
        <w:rPr>
          <w:i/>
        </w:rPr>
      </w:pPr>
      <w:r w:rsidRPr="00746EA1">
        <w:rPr>
          <w:i/>
        </w:rPr>
        <w:t>1d. Do local traders behave competitively?</w:t>
      </w:r>
    </w:p>
    <w:p w14:paraId="2D59BFA1" w14:textId="77777777" w:rsidR="00AA05B5" w:rsidRDefault="00612AAD" w:rsidP="00612AAD">
      <w:pPr>
        <w:tabs>
          <w:tab w:val="left" w:pos="360"/>
          <w:tab w:val="left" w:pos="720"/>
        </w:tabs>
      </w:pPr>
      <w:r>
        <w:t xml:space="preserve">If traders compete, food prices for food insecure households should increase only as much as costs for traders increase. If traders can exercise market power, however, then they can extract added profits from increased demand by boosting prices faster than costs increase. By determining whether markets are or are not “workably competitive,” we can establish whether </w:t>
      </w:r>
      <w:r w:rsidR="00AA05B5">
        <w:t xml:space="preserve">retail </w:t>
      </w:r>
      <w:r>
        <w:t xml:space="preserve">prices are likely to rise faster than costs in </w:t>
      </w:r>
      <w:r w:rsidR="00AA05B5">
        <w:t xml:space="preserve">markets where </w:t>
      </w:r>
      <w:r>
        <w:t>the</w:t>
      </w:r>
      <w:r w:rsidR="00AA05B5">
        <w:t>re are</w:t>
      </w:r>
      <w:r>
        <w:t xml:space="preserve"> demand side interventions (e.g., cash or voucher distribution)</w:t>
      </w:r>
      <w:r w:rsidR="00AA05B5">
        <w:t xml:space="preserve">. </w:t>
      </w:r>
    </w:p>
    <w:p w14:paraId="67193F94" w14:textId="77777777" w:rsidR="00612AAD" w:rsidRDefault="00612AAD" w:rsidP="00612AAD"/>
    <w:p w14:paraId="4EA90487" w14:textId="77777777" w:rsidR="00612AAD" w:rsidRPr="00B62E8F" w:rsidRDefault="00612AAD" w:rsidP="00612AAD">
      <w:pPr>
        <w:rPr>
          <w:i/>
        </w:rPr>
      </w:pPr>
      <w:r w:rsidRPr="00B62E8F">
        <w:rPr>
          <w:i/>
        </w:rPr>
        <w:t>2b. Will agency purchases drive up food prices excessively in source markets?</w:t>
      </w:r>
    </w:p>
    <w:p w14:paraId="451FA13C" w14:textId="08FE88B8" w:rsidR="00612AAD" w:rsidRDefault="00AA05B5" w:rsidP="00612AAD">
      <w:pPr>
        <w:tabs>
          <w:tab w:val="left" w:pos="360"/>
          <w:tab w:val="left" w:pos="720"/>
        </w:tabs>
      </w:pPr>
      <w:r>
        <w:t xml:space="preserve">The logic here is exactly the same as in question 1d, but with the demand side intervention being local or regional procurement. </w:t>
      </w:r>
      <w:r w:rsidR="00612AAD">
        <w:t xml:space="preserve">If local or regional purchases will significantly bid up food prices in source markets, perhaps due to anti-competitive behavior, these actions can harm food insecure households within the source market. </w:t>
      </w:r>
      <w:r>
        <w:t>The tools we discuss in this lecture can help the analyst narrow the range of prospective source markets being considered.</w:t>
      </w:r>
    </w:p>
    <w:p w14:paraId="69794DBE" w14:textId="77777777" w:rsidR="00786DF8" w:rsidDel="00C4088D" w:rsidRDefault="00786DF8" w:rsidP="00612AAD">
      <w:pPr>
        <w:tabs>
          <w:tab w:val="left" w:pos="360"/>
          <w:tab w:val="left" w:pos="720"/>
        </w:tabs>
      </w:pPr>
    </w:p>
    <w:p w14:paraId="6DA84EC8" w14:textId="78DB54C8" w:rsidR="00786DF8" w:rsidRPr="00E47555" w:rsidRDefault="00AB596E" w:rsidP="00E47555">
      <w:pPr>
        <w:rPr>
          <w:b/>
        </w:rPr>
      </w:pPr>
      <w:r>
        <w:rPr>
          <w:b/>
        </w:rPr>
        <w:t>Barriers to entry</w:t>
      </w:r>
    </w:p>
    <w:p w14:paraId="64B76467" w14:textId="77777777" w:rsidR="00CA0B0F" w:rsidRDefault="00CA0B0F" w:rsidP="00612AAD"/>
    <w:p w14:paraId="66976834" w14:textId="0B35AD8C" w:rsidR="00612AAD" w:rsidRDefault="00AA05B5" w:rsidP="00612AAD">
      <w:r>
        <w:t xml:space="preserve">Monopolies exist because other firms find it unprofitable or impossible to enter the market for some reason, in spite of the fact that the incumbent firm(s) </w:t>
      </w:r>
      <w:proofErr w:type="gramStart"/>
      <w:r>
        <w:t>earn</w:t>
      </w:r>
      <w:proofErr w:type="gramEnd"/>
      <w:r>
        <w:t xml:space="preserve">(s) positive profits from trade. </w:t>
      </w:r>
      <w:r w:rsidR="008D6CB7">
        <w:t xml:space="preserve">The existence of a monopoly </w:t>
      </w:r>
      <w:r>
        <w:t>implies the existence of entry a</w:t>
      </w:r>
      <w:r w:rsidR="00774496">
        <w:t xml:space="preserve">nd mobility barriers. An entry barrier keeps new firms from entering the business at all. Mobility barriers keep incumbent firms from expanding either the scale (i.e., volume) or scope (i.e., functions or products) of their existing business. </w:t>
      </w:r>
    </w:p>
    <w:p w14:paraId="63E68DD8" w14:textId="77777777" w:rsidR="00F81283" w:rsidRDefault="00F81283" w:rsidP="00612AAD"/>
    <w:p w14:paraId="1EDC93A1" w14:textId="4184AC70" w:rsidR="00F81283" w:rsidRDefault="00F81283" w:rsidP="00612AAD">
      <w:r>
        <w:t>When marketing margins are much higher than the costs faced by a firm, it may be due to an imperfectly competitive market. Barriers to entry likely enable firms to charge much higher prices than warranted and, potentially, to earn much higher marketing margins.</w:t>
      </w:r>
    </w:p>
    <w:p w14:paraId="598576C5" w14:textId="77777777" w:rsidR="00774496" w:rsidRDefault="00774496" w:rsidP="00612AAD"/>
    <w:p w14:paraId="702A4246" w14:textId="77777777" w:rsidR="00774496" w:rsidRDefault="00774496" w:rsidP="00612AAD">
      <w:r>
        <w:lastRenderedPageBreak/>
        <w:t>Barriers arise from any of several sources:</w:t>
      </w:r>
    </w:p>
    <w:p w14:paraId="203D680D" w14:textId="0FD6DF1D" w:rsidR="00774496" w:rsidRDefault="00774496" w:rsidP="00634482">
      <w:pPr>
        <w:pStyle w:val="ListParagraph"/>
        <w:numPr>
          <w:ilvl w:val="0"/>
          <w:numId w:val="4"/>
        </w:numPr>
      </w:pPr>
      <w:r w:rsidRPr="00774496">
        <w:rPr>
          <w:i/>
        </w:rPr>
        <w:t>Technical barriers</w:t>
      </w:r>
      <w:r>
        <w:t xml:space="preserve"> arise when a significant minimum efficient scale (MES) of operation exists due to declining marginal costs of operation. </w:t>
      </w:r>
      <w:r w:rsidR="00B27B68">
        <w:t xml:space="preserve">For example, </w:t>
      </w:r>
      <w:r w:rsidR="00E47555">
        <w:t>i</w:t>
      </w:r>
      <w:r>
        <w:t xml:space="preserve">n small markets, a single firm may be a lower-cost provider than multiple smaller firms, creating a natural monopoly. The smaller the local market – due to market segmentation from other locations – the more likely that MES (e.g., for motorized transport) leads to local monopoly.  </w:t>
      </w:r>
    </w:p>
    <w:p w14:paraId="6ECD6E7F" w14:textId="77777777" w:rsidR="00D359BA" w:rsidRDefault="00D359BA" w:rsidP="00D359BA">
      <w:pPr>
        <w:pStyle w:val="ListParagraph"/>
        <w:ind w:left="360"/>
      </w:pPr>
    </w:p>
    <w:p w14:paraId="5A14EBAE" w14:textId="5AFA5C17" w:rsidR="00612AAD" w:rsidRDefault="00774496" w:rsidP="00634482">
      <w:pPr>
        <w:pStyle w:val="ListParagraph"/>
        <w:numPr>
          <w:ilvl w:val="0"/>
          <w:numId w:val="4"/>
        </w:numPr>
      </w:pPr>
      <w:r>
        <w:rPr>
          <w:i/>
        </w:rPr>
        <w:t xml:space="preserve">Legal barriers </w:t>
      </w:r>
      <w:r w:rsidRPr="00774496">
        <w:t>arise from state protections.</w:t>
      </w:r>
      <w:r>
        <w:t xml:space="preserve"> In food value chains, the </w:t>
      </w:r>
      <w:r w:rsidR="00B27B68">
        <w:t>primary</w:t>
      </w:r>
      <w:r>
        <w:t xml:space="preserve"> restrictions relate to (</w:t>
      </w:r>
      <w:proofErr w:type="spellStart"/>
      <w:r>
        <w:t>i</w:t>
      </w:r>
      <w:proofErr w:type="spellEnd"/>
      <w:r>
        <w:t xml:space="preserve">) </w:t>
      </w:r>
      <w:proofErr w:type="spellStart"/>
      <w:r>
        <w:t>parastatal</w:t>
      </w:r>
      <w:proofErr w:type="spellEnd"/>
      <w:r>
        <w:t xml:space="preserve"> organizations that may have the sole legal authority to hold buffer stocks of grains, (ii) licensing requirements for traders that limit the</w:t>
      </w:r>
      <w:r w:rsidR="00B27B68">
        <w:t>ir</w:t>
      </w:r>
      <w:r>
        <w:t xml:space="preserve"> number (e.g., periodic market entrance permits, import licenses), and, (iii) patent protections and other intellectual property rights that apply only to a very narrow domain of processed foods (e.g., therapeutic foods such as </w:t>
      </w:r>
      <w:proofErr w:type="spellStart"/>
      <w:r>
        <w:t>PlumpyNut</w:t>
      </w:r>
      <w:proofErr w:type="spellEnd"/>
      <w:r>
        <w:t xml:space="preserve"> or whole grain genetically modified seed/food).  </w:t>
      </w:r>
    </w:p>
    <w:p w14:paraId="6FA261A0" w14:textId="77777777" w:rsidR="00D359BA" w:rsidRPr="00774496" w:rsidRDefault="00D359BA" w:rsidP="00D359BA">
      <w:pPr>
        <w:pStyle w:val="ListParagraph"/>
        <w:ind w:left="360"/>
      </w:pPr>
    </w:p>
    <w:p w14:paraId="43883B26" w14:textId="05D9C4C4" w:rsidR="00774496" w:rsidRDefault="00774496" w:rsidP="00634482">
      <w:pPr>
        <w:pStyle w:val="ListParagraph"/>
        <w:numPr>
          <w:ilvl w:val="0"/>
          <w:numId w:val="4"/>
        </w:numPr>
      </w:pPr>
      <w:r w:rsidRPr="00774496">
        <w:rPr>
          <w:i/>
        </w:rPr>
        <w:t>Informal barriers</w:t>
      </w:r>
      <w:r>
        <w:t xml:space="preserve"> arise due to sociocultural restrictions that limit physical access to certain areas or information access that may be essential to arbitrage or to contract enforcement.</w:t>
      </w:r>
      <w:r>
        <w:rPr>
          <w:rStyle w:val="FootnoteReference"/>
        </w:rPr>
        <w:footnoteReference w:id="2"/>
      </w:r>
      <w:r>
        <w:t xml:space="preserve"> </w:t>
      </w:r>
      <w:r w:rsidR="00806374">
        <w:t xml:space="preserve">For example, where </w:t>
      </w:r>
      <w:r w:rsidR="00D359BA">
        <w:t xml:space="preserve">local leaders erect road barriers </w:t>
      </w:r>
      <w:r w:rsidR="00B27B68">
        <w:t xml:space="preserve">to </w:t>
      </w:r>
      <w:r w:rsidR="00D359BA">
        <w:t>physically bar outsiders from entering a region, or when the absence of formal trade credit from financial institutions effectively limits entry to those who can use social networks to raise capital and enforce agreements, pockets of market power easily emerge (and are commonly correlated with proprietors’ sociocultural characteristics, such as ethnicity, religion and gender).</w:t>
      </w:r>
    </w:p>
    <w:p w14:paraId="5C51FCBE" w14:textId="77777777" w:rsidR="00D359BA" w:rsidRDefault="00D359BA" w:rsidP="00D359BA">
      <w:pPr>
        <w:pStyle w:val="ListParagraph"/>
      </w:pPr>
    </w:p>
    <w:p w14:paraId="5059D9FE" w14:textId="77777777" w:rsidR="00806374" w:rsidRDefault="000A0CC2" w:rsidP="00634482">
      <w:pPr>
        <w:pStyle w:val="ListParagraph"/>
        <w:numPr>
          <w:ilvl w:val="0"/>
          <w:numId w:val="4"/>
        </w:numPr>
      </w:pPr>
      <w:r>
        <w:rPr>
          <w:i/>
        </w:rPr>
        <w:t>Firm-c</w:t>
      </w:r>
      <w:r w:rsidR="00D359BA" w:rsidRPr="00D359BA">
        <w:rPr>
          <w:i/>
        </w:rPr>
        <w:t>reated barriers</w:t>
      </w:r>
      <w:r w:rsidR="00D359BA">
        <w:t xml:space="preserve"> emerge where firms actively work to exclude others from the market through costly investments of their own</w:t>
      </w:r>
      <w:r w:rsidR="00A01689">
        <w:t>, especially investments that are effectively irreversible (so-called “sunk costs”)</w:t>
      </w:r>
      <w:r w:rsidR="00D359BA">
        <w:t xml:space="preserve">.  In the context of low-income food marketing channels, common methods </w:t>
      </w:r>
      <w:r w:rsidR="00A01689">
        <w:t xml:space="preserve">for creating entry and mobility barriers </w:t>
      </w:r>
      <w:r w:rsidR="00D359BA">
        <w:t xml:space="preserve">include </w:t>
      </w:r>
      <w:r w:rsidR="00A01689">
        <w:t xml:space="preserve">contract </w:t>
      </w:r>
      <w:proofErr w:type="spellStart"/>
      <w:r w:rsidR="00A01689">
        <w:t>interlinkage</w:t>
      </w:r>
      <w:proofErr w:type="spellEnd"/>
      <w:r w:rsidR="00A01689">
        <w:t xml:space="preserve"> (especially tying credit to forward sales), relationship-or-function-specific capital (e.g., extruders for groundnut processing)</w:t>
      </w:r>
      <w:r w:rsidR="00D359BA">
        <w:t xml:space="preserve">, predatory pricing (i.e., intentional “loss leaders”), manufacturing artificial price volatility, </w:t>
      </w:r>
      <w:r w:rsidR="00A01689">
        <w:t xml:space="preserve">political lobbying for protection, and direct intimidation of prospective competitors. </w:t>
      </w:r>
    </w:p>
    <w:p w14:paraId="220CBE5E" w14:textId="77777777" w:rsidR="00D359BA" w:rsidRDefault="00D359BA" w:rsidP="00612AAD"/>
    <w:p w14:paraId="5DEFCE80" w14:textId="70CBF58C" w:rsidR="00427E85" w:rsidRDefault="00427E85" w:rsidP="00427E85">
      <w:r>
        <w:t xml:space="preserve">Monopolies are relatively rare in food marketing channels; oligopolies are more common. </w:t>
      </w:r>
      <w:r w:rsidR="002E2778">
        <w:t>M</w:t>
      </w:r>
      <w:r>
        <w:t xml:space="preserve">arket equilibrium under oligopoly is hard to </w:t>
      </w:r>
      <w:r w:rsidR="002E2778">
        <w:t xml:space="preserve">predict or identify </w:t>
      </w:r>
      <w:r>
        <w:t xml:space="preserve">as </w:t>
      </w:r>
      <w:r w:rsidR="003D3FFA">
        <w:t xml:space="preserve">the equilibrium </w:t>
      </w:r>
      <w:r>
        <w:t>depends on the nature of interactions between firms.</w:t>
      </w:r>
      <w:r>
        <w:rPr>
          <w:rStyle w:val="FootnoteReference"/>
        </w:rPr>
        <w:footnoteReference w:id="3"/>
      </w:r>
      <w:r>
        <w:t xml:space="preserve"> Even a single </w:t>
      </w:r>
      <w:r>
        <w:lastRenderedPageBreak/>
        <w:t>firm might not exercise market power if the market is “contestable”, i.e., another firm could enter if the incumbent firm began making significant positive profits.</w:t>
      </w:r>
      <w:r w:rsidR="00786DF8">
        <w:rPr>
          <w:rStyle w:val="FootnoteReference"/>
        </w:rPr>
        <w:footnoteReference w:id="4"/>
      </w:r>
      <w:r>
        <w:t xml:space="preserve"> </w:t>
      </w:r>
      <w:r w:rsidR="00786DF8">
        <w:t>The practical approach</w:t>
      </w:r>
      <w:r w:rsidR="00E707D8">
        <w:t xml:space="preserve"> to understanding whether any of the above barriers result in an imperfect market, with </w:t>
      </w:r>
      <w:r w:rsidR="00992120">
        <w:t xml:space="preserve">firms earning </w:t>
      </w:r>
      <w:r w:rsidR="00E707D8">
        <w:t>excessively high p</w:t>
      </w:r>
      <w:r w:rsidR="00992120">
        <w:t>rofits</w:t>
      </w:r>
      <w:r w:rsidR="00E707D8">
        <w:t>,</w:t>
      </w:r>
      <w:r w:rsidR="00786DF8">
        <w:t xml:space="preserve"> is to explore the structure, conduct and performance of the specific marketing channel of interest.</w:t>
      </w:r>
    </w:p>
    <w:p w14:paraId="35A77D24" w14:textId="77777777" w:rsidR="00967B4D" w:rsidRDefault="00967B4D" w:rsidP="00612AAD"/>
    <w:p w14:paraId="757896AE" w14:textId="77777777" w:rsidR="00786DF8" w:rsidRPr="00992120" w:rsidRDefault="00786DF8" w:rsidP="00992120">
      <w:pPr>
        <w:rPr>
          <w:b/>
        </w:rPr>
      </w:pPr>
      <w:r w:rsidRPr="00992120">
        <w:rPr>
          <w:b/>
        </w:rPr>
        <w:t>Market structure, conduct and performance</w:t>
      </w:r>
    </w:p>
    <w:p w14:paraId="2E3991CA" w14:textId="77777777" w:rsidR="00786DF8" w:rsidRDefault="00786DF8" w:rsidP="00786DF8">
      <w:r>
        <w:t xml:space="preserve">The dominant tradition in empirical research on industrial organization divides </w:t>
      </w:r>
      <w:r w:rsidR="00510E4A">
        <w:t xml:space="preserve">market </w:t>
      </w:r>
      <w:r>
        <w:t>analysis into three parts</w:t>
      </w:r>
      <w:r>
        <w:rPr>
          <w:rStyle w:val="FootnoteReference"/>
        </w:rPr>
        <w:footnoteReference w:id="5"/>
      </w:r>
      <w:r>
        <w:t xml:space="preserve">: </w:t>
      </w:r>
    </w:p>
    <w:p w14:paraId="719AC088" w14:textId="12800814" w:rsidR="00786DF8" w:rsidRDefault="00786DF8" w:rsidP="00634482">
      <w:pPr>
        <w:pStyle w:val="ListParagraph"/>
        <w:numPr>
          <w:ilvl w:val="0"/>
          <w:numId w:val="5"/>
        </w:numPr>
      </w:pPr>
      <w:r>
        <w:t xml:space="preserve">Market structure: </w:t>
      </w:r>
      <w:r w:rsidR="00A01689">
        <w:t>are there increasing returns to scale or scope in this marketing channel? H</w:t>
      </w:r>
      <w:r>
        <w:t xml:space="preserve">ow many firms </w:t>
      </w:r>
      <w:r w:rsidR="00A01689">
        <w:t>participate</w:t>
      </w:r>
      <w:r>
        <w:t>? What is their size distribution? How concentrated is the market?</w:t>
      </w:r>
      <w:r w:rsidR="00A01689">
        <w:t xml:space="preserve"> What have entry and exit patterns been like in recent years?</w:t>
      </w:r>
    </w:p>
    <w:p w14:paraId="58D90C8D" w14:textId="54C29D10" w:rsidR="00786DF8" w:rsidRDefault="00786DF8" w:rsidP="00634482">
      <w:pPr>
        <w:pStyle w:val="ListParagraph"/>
        <w:numPr>
          <w:ilvl w:val="0"/>
          <w:numId w:val="5"/>
        </w:numPr>
      </w:pPr>
      <w:r>
        <w:t>Firm conduct:</w:t>
      </w:r>
      <w:r w:rsidR="00A01689">
        <w:t xml:space="preserve"> how have firms responded to demand and supply shocks in the past? Is there any sign of collusion among (especially larger) firms?  </w:t>
      </w:r>
    </w:p>
    <w:p w14:paraId="19C373D6" w14:textId="5FB66798" w:rsidR="00786DF8" w:rsidRDefault="00786DF8" w:rsidP="00634482">
      <w:pPr>
        <w:pStyle w:val="ListParagraph"/>
        <w:numPr>
          <w:ilvl w:val="0"/>
          <w:numId w:val="5"/>
        </w:numPr>
      </w:pPr>
      <w:r>
        <w:t xml:space="preserve">Economic performance: </w:t>
      </w:r>
      <w:r w:rsidR="00A01689">
        <w:t>what are the impacts of market structure and firm conduct on profits, prices, distributional equity and other outcome variables of interest?</w:t>
      </w:r>
    </w:p>
    <w:p w14:paraId="7A3FA0D2" w14:textId="77777777" w:rsidR="00967B4D" w:rsidRDefault="00967B4D" w:rsidP="00967B4D"/>
    <w:p w14:paraId="76098E73" w14:textId="77777777" w:rsidR="00967B4D" w:rsidRPr="00F811D0" w:rsidRDefault="00967B4D" w:rsidP="00634482">
      <w:pPr>
        <w:pStyle w:val="ListParagraph"/>
        <w:numPr>
          <w:ilvl w:val="0"/>
          <w:numId w:val="7"/>
        </w:numPr>
        <w:rPr>
          <w:i/>
          <w:u w:val="single"/>
        </w:rPr>
      </w:pPr>
      <w:r w:rsidRPr="00F811D0">
        <w:rPr>
          <w:i/>
          <w:u w:val="single"/>
        </w:rPr>
        <w:t>Market structure</w:t>
      </w:r>
    </w:p>
    <w:p w14:paraId="67AABCD9" w14:textId="73B12A40" w:rsidR="00786DF8" w:rsidRPr="00662168" w:rsidRDefault="00967B4D" w:rsidP="00786DF8">
      <w:r>
        <w:t>O</w:t>
      </w:r>
      <w:r w:rsidR="00786DF8">
        <w:t>ne</w:t>
      </w:r>
      <w:r>
        <w:t xml:space="preserve"> fairly</w:t>
      </w:r>
      <w:r w:rsidR="00786DF8">
        <w:t xml:space="preserve"> general </w:t>
      </w:r>
      <w:r w:rsidR="00662168">
        <w:t xml:space="preserve">theoretical </w:t>
      </w:r>
      <w:r w:rsidR="00786DF8">
        <w:t>result is that as the number of firms increases, the oligopolistic equilibrium approaches the competitive equilibrium</w:t>
      </w:r>
      <w:r>
        <w:t xml:space="preserve"> and price distortions disappear</w:t>
      </w:r>
      <w:r w:rsidR="00786DF8">
        <w:t xml:space="preserve">. Because firms are rarely of equal size, a slight, and generally useful, </w:t>
      </w:r>
      <w:r w:rsidR="00786DF8" w:rsidRPr="00662168">
        <w:t xml:space="preserve">refinement is to consider the concentration of firms in the marketplace.  </w:t>
      </w:r>
      <w:r w:rsidR="00662168" w:rsidRPr="00662168">
        <w:t xml:space="preserve">Thus concentration measures are the workhorse of empirical market structure analysis. </w:t>
      </w:r>
    </w:p>
    <w:p w14:paraId="1C1BC067" w14:textId="77777777" w:rsidR="00662168" w:rsidRPr="00662168" w:rsidRDefault="00662168" w:rsidP="00786DF8"/>
    <w:p w14:paraId="6FB0F4A6" w14:textId="6EAED900" w:rsidR="00662168" w:rsidRPr="00662168" w:rsidRDefault="00662168" w:rsidP="00662168">
      <w:pPr>
        <w:pStyle w:val="NormalWeb"/>
        <w:spacing w:before="2" w:after="2"/>
        <w:rPr>
          <w:rFonts w:asciiTheme="minorHAnsi" w:eastAsia="Times New Roman" w:hAnsiTheme="minorHAnsi"/>
          <w:sz w:val="24"/>
          <w:szCs w:val="24"/>
        </w:rPr>
      </w:pPr>
      <w:r w:rsidRPr="00662168">
        <w:rPr>
          <w:rFonts w:asciiTheme="minorHAnsi" w:hAnsiTheme="minorHAnsi"/>
          <w:sz w:val="24"/>
          <w:szCs w:val="24"/>
        </w:rPr>
        <w:t xml:space="preserve">The most common measure of concentration is the percentage of total market volume (for the product in question, in the geographic market and season of interest) controlled by a specific number of the largest firms. </w:t>
      </w:r>
      <w:r w:rsidRPr="00662168">
        <w:rPr>
          <w:rFonts w:asciiTheme="minorHAnsi" w:eastAsia="Times New Roman" w:hAnsiTheme="minorHAnsi" w:cs="Arial"/>
          <w:sz w:val="24"/>
          <w:szCs w:val="24"/>
        </w:rPr>
        <w:t xml:space="preserve">The concentration ratio is computed as: </w:t>
      </w:r>
    </w:p>
    <w:p w14:paraId="72A67E36" w14:textId="77777777" w:rsidR="00662168" w:rsidRPr="00662168" w:rsidRDefault="00662168" w:rsidP="00662168">
      <w:pPr>
        <w:spacing w:before="100" w:beforeAutospacing="1" w:after="100" w:afterAutospacing="1"/>
        <w:jc w:val="center"/>
        <w:rPr>
          <w:rFonts w:eastAsia="Times New Roman" w:cs="Times New Roman"/>
        </w:rPr>
      </w:pPr>
      <w:proofErr w:type="spellStart"/>
      <w:r w:rsidRPr="00662168">
        <w:rPr>
          <w:rFonts w:eastAsia="Times New Roman" w:cs="Arial"/>
        </w:rPr>
        <w:t>CR</w:t>
      </w:r>
      <w:r w:rsidRPr="00662168">
        <w:rPr>
          <w:rFonts w:eastAsia="Times New Roman" w:cs="Arial"/>
          <w:i/>
          <w:iCs/>
          <w:vertAlign w:val="subscript"/>
        </w:rPr>
        <w:t>m</w:t>
      </w:r>
      <w:proofErr w:type="spellEnd"/>
      <w:r w:rsidRPr="00662168">
        <w:rPr>
          <w:rFonts w:eastAsia="Times New Roman" w:cs="Arial"/>
        </w:rPr>
        <w:t>  </w:t>
      </w:r>
      <w:proofErr w:type="gramStart"/>
      <w:r w:rsidRPr="00662168">
        <w:rPr>
          <w:rFonts w:eastAsia="Times New Roman" w:cs="Arial"/>
        </w:rPr>
        <w:t>=  s</w:t>
      </w:r>
      <w:r w:rsidRPr="00662168">
        <w:rPr>
          <w:rFonts w:eastAsia="Times New Roman" w:cs="Arial"/>
          <w:vertAlign w:val="subscript"/>
        </w:rPr>
        <w:t>1</w:t>
      </w:r>
      <w:proofErr w:type="gramEnd"/>
      <w:r w:rsidRPr="00662168">
        <w:rPr>
          <w:rFonts w:eastAsia="Times New Roman" w:cs="Arial"/>
        </w:rPr>
        <w:t>  +  s</w:t>
      </w:r>
      <w:r w:rsidRPr="00662168">
        <w:rPr>
          <w:rFonts w:eastAsia="Times New Roman" w:cs="Arial"/>
          <w:vertAlign w:val="subscript"/>
        </w:rPr>
        <w:t>2</w:t>
      </w:r>
      <w:r w:rsidRPr="00662168">
        <w:rPr>
          <w:rFonts w:eastAsia="Times New Roman" w:cs="Arial"/>
        </w:rPr>
        <w:t>  +  s</w:t>
      </w:r>
      <w:r w:rsidRPr="00662168">
        <w:rPr>
          <w:rFonts w:eastAsia="Times New Roman" w:cs="Arial"/>
          <w:vertAlign w:val="subscript"/>
        </w:rPr>
        <w:t>3</w:t>
      </w:r>
      <w:r w:rsidRPr="00662168">
        <w:rPr>
          <w:rFonts w:eastAsia="Times New Roman" w:cs="Arial"/>
        </w:rPr>
        <w:t>  +  ... ... +  </w:t>
      </w:r>
      <w:proofErr w:type="spellStart"/>
      <w:r w:rsidRPr="00662168">
        <w:rPr>
          <w:rFonts w:eastAsia="Times New Roman" w:cs="Arial"/>
        </w:rPr>
        <w:t>s</w:t>
      </w:r>
      <w:r w:rsidRPr="00662168">
        <w:rPr>
          <w:rFonts w:eastAsia="Times New Roman" w:cs="Arial"/>
          <w:i/>
          <w:iCs/>
          <w:vertAlign w:val="subscript"/>
        </w:rPr>
        <w:t>m</w:t>
      </w:r>
      <w:proofErr w:type="spellEnd"/>
      <w:r w:rsidRPr="00662168">
        <w:rPr>
          <w:rFonts w:eastAsia="Times New Roman" w:cs="Arial"/>
        </w:rPr>
        <w:t xml:space="preserve"> </w:t>
      </w:r>
    </w:p>
    <w:p w14:paraId="7844CBD5" w14:textId="77777777" w:rsidR="00662168" w:rsidRDefault="00662168" w:rsidP="00662168">
      <w:pPr>
        <w:spacing w:before="100" w:beforeAutospacing="1" w:after="100" w:afterAutospacing="1"/>
      </w:pPr>
      <w:proofErr w:type="gramStart"/>
      <w:r w:rsidRPr="00662168">
        <w:rPr>
          <w:rFonts w:eastAsia="Times New Roman" w:cs="Arial"/>
        </w:rPr>
        <w:t>where</w:t>
      </w:r>
      <w:proofErr w:type="gramEnd"/>
      <w:r w:rsidRPr="00662168">
        <w:rPr>
          <w:rFonts w:eastAsia="Times New Roman" w:cs="Arial"/>
        </w:rPr>
        <w:t>  </w:t>
      </w:r>
      <w:proofErr w:type="spellStart"/>
      <w:r w:rsidRPr="00662168">
        <w:rPr>
          <w:rFonts w:eastAsia="Times New Roman" w:cs="Arial"/>
        </w:rPr>
        <w:t>s</w:t>
      </w:r>
      <w:r w:rsidRPr="00662168">
        <w:rPr>
          <w:rFonts w:eastAsia="Times New Roman" w:cs="Arial"/>
          <w:i/>
          <w:iCs/>
          <w:vertAlign w:val="subscript"/>
        </w:rPr>
        <w:t>i</w:t>
      </w:r>
      <w:proofErr w:type="spellEnd"/>
      <w:r w:rsidRPr="00662168">
        <w:rPr>
          <w:rFonts w:eastAsia="Times New Roman" w:cs="Arial"/>
        </w:rPr>
        <w:t xml:space="preserve">  =  market share of the </w:t>
      </w:r>
      <w:proofErr w:type="spellStart"/>
      <w:r w:rsidRPr="00662168">
        <w:rPr>
          <w:rFonts w:eastAsia="Times New Roman" w:cs="Arial"/>
          <w:i/>
          <w:iCs/>
        </w:rPr>
        <w:t>i</w:t>
      </w:r>
      <w:r w:rsidRPr="00662168">
        <w:rPr>
          <w:rFonts w:eastAsia="Times New Roman" w:cs="Arial"/>
          <w:i/>
          <w:iCs/>
          <w:vertAlign w:val="superscript"/>
        </w:rPr>
        <w:t>th</w:t>
      </w:r>
      <w:proofErr w:type="spellEnd"/>
      <w:r w:rsidRPr="00662168">
        <w:rPr>
          <w:rFonts w:eastAsia="Times New Roman" w:cs="Arial"/>
        </w:rPr>
        <w:t xml:space="preserve"> firm and </w:t>
      </w:r>
      <w:r w:rsidRPr="00662168">
        <w:rPr>
          <w:rFonts w:eastAsia="Times New Roman" w:cs="Arial"/>
          <w:i/>
        </w:rPr>
        <w:t>m</w:t>
      </w:r>
      <w:r w:rsidRPr="00662168">
        <w:rPr>
          <w:rFonts w:eastAsia="Times New Roman" w:cs="Arial"/>
        </w:rPr>
        <w:t xml:space="preserve"> is the number of firms included. </w:t>
      </w:r>
      <w:r>
        <w:t xml:space="preserve">This concentration ratio measure gives a rough indication of how much competition exists within the market.  </w:t>
      </w:r>
    </w:p>
    <w:p w14:paraId="024CB214" w14:textId="3F90518E" w:rsidR="00662168" w:rsidRPr="009440B2" w:rsidRDefault="00662168" w:rsidP="00662168">
      <w:pPr>
        <w:spacing w:before="100" w:beforeAutospacing="1" w:after="100" w:afterAutospacing="1"/>
      </w:pPr>
      <w:r w:rsidRPr="00662168">
        <w:rPr>
          <w:rFonts w:eastAsia="Times New Roman" w:cs="Arial"/>
        </w:rPr>
        <w:lastRenderedPageBreak/>
        <w:t>The main, and simplest, measure is CR</w:t>
      </w:r>
      <w:r>
        <w:rPr>
          <w:rFonts w:eastAsia="Times New Roman" w:cs="Arial"/>
          <w:vertAlign w:val="subscript"/>
        </w:rPr>
        <w:t>4</w:t>
      </w:r>
      <w:r>
        <w:rPr>
          <w:rFonts w:eastAsia="Times New Roman" w:cs="Arial"/>
        </w:rPr>
        <w:t xml:space="preserve">, the share of the market controlled by the largest four firms. </w:t>
      </w:r>
      <w:r>
        <w:t xml:space="preserve">As a crude rule of thumb, </w:t>
      </w:r>
      <w:r w:rsidRPr="00662168">
        <w:rPr>
          <w:rFonts w:eastAsia="Times New Roman" w:cs="Arial"/>
        </w:rPr>
        <w:t>CR</w:t>
      </w:r>
      <w:r>
        <w:rPr>
          <w:rFonts w:eastAsia="Times New Roman" w:cs="Arial"/>
          <w:vertAlign w:val="subscript"/>
        </w:rPr>
        <w:t>4</w:t>
      </w:r>
      <w:r>
        <w:t xml:space="preserve">&gt;90 is considered an effective </w:t>
      </w:r>
      <w:r w:rsidR="0082658A">
        <w:t>oligo</w:t>
      </w:r>
      <w:r>
        <w:t xml:space="preserve">poly, </w:t>
      </w:r>
      <w:r w:rsidRPr="009440B2">
        <w:t xml:space="preserve">while at the other end of the spectrum, </w:t>
      </w:r>
      <w:r w:rsidRPr="009440B2">
        <w:rPr>
          <w:rFonts w:eastAsia="Times New Roman" w:cs="Arial"/>
        </w:rPr>
        <w:t>CR</w:t>
      </w:r>
      <w:r w:rsidRPr="009440B2">
        <w:rPr>
          <w:rFonts w:eastAsia="Times New Roman" w:cs="Arial"/>
          <w:vertAlign w:val="subscript"/>
        </w:rPr>
        <w:t>4</w:t>
      </w:r>
      <w:r w:rsidRPr="009440B2">
        <w:t>&lt;40 is typically taken as a sign of a very competitive market. Values in the 40≤</w:t>
      </w:r>
      <w:r w:rsidRPr="009440B2">
        <w:rPr>
          <w:rFonts w:eastAsia="Times New Roman" w:cs="Arial"/>
        </w:rPr>
        <w:t xml:space="preserve"> CR</w:t>
      </w:r>
      <w:r w:rsidRPr="009440B2">
        <w:rPr>
          <w:rFonts w:eastAsia="Times New Roman" w:cs="Arial"/>
          <w:vertAlign w:val="subscript"/>
        </w:rPr>
        <w:t>4</w:t>
      </w:r>
      <w:r w:rsidRPr="009440B2">
        <w:t xml:space="preserve">≤90 range may or may not signal problems with imperfect competition. </w:t>
      </w:r>
    </w:p>
    <w:p w14:paraId="53585AF1" w14:textId="6AC670AA" w:rsidR="00662168" w:rsidRPr="00662168" w:rsidRDefault="00662168" w:rsidP="00662168">
      <w:pPr>
        <w:spacing w:before="100" w:beforeAutospacing="1" w:after="100" w:afterAutospacing="1"/>
        <w:rPr>
          <w:rFonts w:eastAsia="Times New Roman" w:cs="Times New Roman"/>
        </w:rPr>
      </w:pPr>
      <w:r w:rsidRPr="009440B2">
        <w:rPr>
          <w:rFonts w:eastAsia="Times New Roman" w:cs="Arial"/>
        </w:rPr>
        <w:t>T</w:t>
      </w:r>
      <w:r w:rsidRPr="00662168">
        <w:rPr>
          <w:rFonts w:eastAsia="Times New Roman" w:cs="Arial"/>
        </w:rPr>
        <w:t xml:space="preserve">he concentration ratio </w:t>
      </w:r>
      <w:r w:rsidRPr="009440B2">
        <w:rPr>
          <w:rFonts w:eastAsia="Times New Roman" w:cs="Arial"/>
        </w:rPr>
        <w:t>ignores</w:t>
      </w:r>
      <w:r w:rsidRPr="00662168">
        <w:rPr>
          <w:rFonts w:eastAsia="Times New Roman" w:cs="Arial"/>
        </w:rPr>
        <w:t xml:space="preserve"> information about the distribution of firm size</w:t>
      </w:r>
      <w:r w:rsidRPr="009440B2">
        <w:rPr>
          <w:rFonts w:eastAsia="Times New Roman" w:cs="Arial"/>
        </w:rPr>
        <w:t>, however</w:t>
      </w:r>
      <w:r w:rsidRPr="00662168">
        <w:rPr>
          <w:rFonts w:eastAsia="Times New Roman" w:cs="Arial"/>
        </w:rPr>
        <w:t>.</w:t>
      </w:r>
      <w:r w:rsidRPr="009440B2">
        <w:rPr>
          <w:rFonts w:eastAsia="Times New Roman" w:cs="Arial"/>
        </w:rPr>
        <w:t xml:space="preserve"> If CR</w:t>
      </w:r>
      <w:r w:rsidRPr="009440B2">
        <w:rPr>
          <w:rFonts w:eastAsia="Times New Roman" w:cs="Arial"/>
          <w:vertAlign w:val="subscript"/>
        </w:rPr>
        <w:t>4</w:t>
      </w:r>
      <w:r w:rsidRPr="009440B2">
        <w:rPr>
          <w:rFonts w:eastAsia="Times New Roman" w:cs="Arial"/>
        </w:rPr>
        <w:t>=60 because one firm controls 45 percent of the market and the next three only control 5 percent each, that’s quite a different situation from a market in which each control</w:t>
      </w:r>
      <w:r w:rsidR="00510E4A">
        <w:rPr>
          <w:rFonts w:eastAsia="Times New Roman" w:cs="Arial"/>
        </w:rPr>
        <w:t>s</w:t>
      </w:r>
      <w:r w:rsidRPr="009440B2">
        <w:rPr>
          <w:rFonts w:eastAsia="Times New Roman" w:cs="Arial"/>
        </w:rPr>
        <w:t xml:space="preserve"> only</w:t>
      </w:r>
      <w:r>
        <w:rPr>
          <w:rFonts w:eastAsia="Times New Roman" w:cs="Arial"/>
        </w:rPr>
        <w:t xml:space="preserve"> 15 percent of the market. We would likely worry </w:t>
      </w:r>
      <w:r w:rsidRPr="009440B2">
        <w:rPr>
          <w:rFonts w:eastAsia="Times New Roman" w:cs="Arial"/>
        </w:rPr>
        <w:t>about noncompetitive behavior by the dominant trader in the first case and deem the market workably competitive in the latter case.</w:t>
      </w:r>
      <w:r w:rsidRPr="00662168">
        <w:rPr>
          <w:rFonts w:eastAsia="Times New Roman" w:cs="Arial"/>
        </w:rPr>
        <w:t xml:space="preserve"> </w:t>
      </w:r>
      <w:r w:rsidRPr="00662168">
        <w:rPr>
          <w:rFonts w:eastAsia="Times New Roman" w:cs="Arial"/>
        </w:rPr>
        <w:br/>
      </w:r>
      <w:r w:rsidRPr="00662168">
        <w:rPr>
          <w:rFonts w:eastAsia="Times New Roman" w:cs="Arial"/>
        </w:rPr>
        <w:br/>
      </w:r>
      <w:r w:rsidRPr="009440B2">
        <w:rPr>
          <w:rFonts w:eastAsia="Times New Roman" w:cs="Arial"/>
        </w:rPr>
        <w:t xml:space="preserve">To address this concern, </w:t>
      </w:r>
      <w:r w:rsidR="0005369C" w:rsidRPr="009440B2">
        <w:rPr>
          <w:rFonts w:eastAsia="Times New Roman" w:cs="Arial"/>
        </w:rPr>
        <w:t xml:space="preserve">many industry analysts favor the </w:t>
      </w:r>
      <w:proofErr w:type="spellStart"/>
      <w:r w:rsidRPr="00662168">
        <w:rPr>
          <w:rFonts w:eastAsia="Times New Roman" w:cs="Arial"/>
          <w:bCs/>
        </w:rPr>
        <w:t>Herfindahl</w:t>
      </w:r>
      <w:proofErr w:type="spellEnd"/>
      <w:r w:rsidRPr="00662168">
        <w:rPr>
          <w:rFonts w:eastAsia="Times New Roman" w:cs="Arial"/>
          <w:bCs/>
        </w:rPr>
        <w:t>-Hirschman Index (HHI)</w:t>
      </w:r>
      <w:r w:rsidR="00510E4A">
        <w:rPr>
          <w:rFonts w:eastAsia="Times New Roman" w:cs="Arial"/>
          <w:bCs/>
        </w:rPr>
        <w:t>, with which</w:t>
      </w:r>
      <w:r w:rsidR="0005369C" w:rsidRPr="009440B2">
        <w:rPr>
          <w:rFonts w:eastAsia="Times New Roman" w:cs="Arial"/>
          <w:bCs/>
        </w:rPr>
        <w:t xml:space="preserve"> one can generate reasonable estimates of market share for each firm in the industry. </w:t>
      </w:r>
      <w:r w:rsidR="00510E4A">
        <w:rPr>
          <w:rFonts w:eastAsia="Times New Roman" w:cs="Arial"/>
          <w:bCs/>
        </w:rPr>
        <w:t>Establishing market share</w:t>
      </w:r>
      <w:r w:rsidR="00510E4A" w:rsidRPr="009440B2">
        <w:rPr>
          <w:rFonts w:eastAsia="Times New Roman" w:cs="Arial"/>
          <w:bCs/>
        </w:rPr>
        <w:t xml:space="preserve"> </w:t>
      </w:r>
      <w:r w:rsidR="0005369C" w:rsidRPr="009440B2">
        <w:rPr>
          <w:rFonts w:eastAsia="Times New Roman" w:cs="Arial"/>
          <w:bCs/>
        </w:rPr>
        <w:t>is often difficult in low-income food marketing channels at</w:t>
      </w:r>
      <w:r w:rsidR="00510E4A">
        <w:rPr>
          <w:rFonts w:eastAsia="Times New Roman" w:cs="Arial"/>
          <w:bCs/>
        </w:rPr>
        <w:t xml:space="preserve"> the</w:t>
      </w:r>
      <w:r w:rsidR="0005369C" w:rsidRPr="009440B2">
        <w:rPr>
          <w:rFonts w:eastAsia="Times New Roman" w:cs="Arial"/>
          <w:bCs/>
        </w:rPr>
        <w:t xml:space="preserve"> retail level, but </w:t>
      </w:r>
      <w:r w:rsidR="00510E4A">
        <w:rPr>
          <w:rFonts w:eastAsia="Times New Roman" w:cs="Arial"/>
          <w:bCs/>
        </w:rPr>
        <w:t xml:space="preserve">is </w:t>
      </w:r>
      <w:r w:rsidR="0005369C" w:rsidRPr="009440B2">
        <w:rPr>
          <w:rFonts w:eastAsia="Times New Roman" w:cs="Arial"/>
          <w:bCs/>
        </w:rPr>
        <w:t xml:space="preserve">sometimes feasible, especially in large-scale procurement markets </w:t>
      </w:r>
      <w:r w:rsidR="00510E4A">
        <w:rPr>
          <w:rFonts w:eastAsia="Times New Roman" w:cs="Arial"/>
          <w:bCs/>
        </w:rPr>
        <w:t>in which</w:t>
      </w:r>
      <w:r w:rsidR="00510E4A" w:rsidRPr="009440B2">
        <w:rPr>
          <w:rFonts w:eastAsia="Times New Roman" w:cs="Arial"/>
          <w:bCs/>
        </w:rPr>
        <w:t xml:space="preserve"> </w:t>
      </w:r>
      <w:r w:rsidR="0005369C" w:rsidRPr="009440B2">
        <w:rPr>
          <w:rFonts w:eastAsia="Times New Roman" w:cs="Arial"/>
          <w:bCs/>
        </w:rPr>
        <w:t>a modest number of wholesalers can sell to an agency looking to fill a large commodity tender.</w:t>
      </w:r>
      <w:r w:rsidRPr="00662168">
        <w:rPr>
          <w:rFonts w:eastAsia="Times New Roman" w:cs="Arial"/>
        </w:rPr>
        <w:t xml:space="preserve"> </w:t>
      </w:r>
    </w:p>
    <w:p w14:paraId="7FA5B9CC" w14:textId="77777777" w:rsidR="00662168" w:rsidRPr="00662168" w:rsidRDefault="00662168" w:rsidP="00662168">
      <w:pPr>
        <w:spacing w:before="100" w:beforeAutospacing="1" w:after="100" w:afterAutospacing="1"/>
        <w:rPr>
          <w:rFonts w:eastAsia="Times New Roman" w:cs="Times New Roman"/>
        </w:rPr>
      </w:pPr>
      <w:r w:rsidRPr="00662168">
        <w:rPr>
          <w:rFonts w:eastAsia="Times New Roman" w:cs="Arial"/>
        </w:rPr>
        <w:t xml:space="preserve">HHI </w:t>
      </w:r>
      <w:r w:rsidR="0005369C" w:rsidRPr="009440B2">
        <w:rPr>
          <w:rFonts w:eastAsia="Times New Roman" w:cs="Arial"/>
        </w:rPr>
        <w:t xml:space="preserve">is simply the sum of squared market shares of all </w:t>
      </w:r>
      <w:r w:rsidRPr="00662168">
        <w:rPr>
          <w:rFonts w:eastAsia="Times New Roman" w:cs="Arial"/>
          <w:i/>
          <w:iCs/>
        </w:rPr>
        <w:t>n</w:t>
      </w:r>
      <w:r w:rsidRPr="00662168">
        <w:rPr>
          <w:rFonts w:eastAsia="Times New Roman" w:cs="Arial"/>
        </w:rPr>
        <w:t xml:space="preserve"> firms in the </w:t>
      </w:r>
      <w:r w:rsidR="0005369C" w:rsidRPr="009440B2">
        <w:rPr>
          <w:rFonts w:eastAsia="Times New Roman" w:cs="Arial"/>
        </w:rPr>
        <w:t xml:space="preserve">relevant segment of the value chain, so as to place </w:t>
      </w:r>
      <w:r w:rsidR="0005369C" w:rsidRPr="00662168">
        <w:rPr>
          <w:rFonts w:eastAsia="Times New Roman" w:cs="Arial"/>
        </w:rPr>
        <w:t>more weight on the larger firms</w:t>
      </w:r>
      <w:r w:rsidR="0005369C" w:rsidRPr="009440B2">
        <w:rPr>
          <w:rFonts w:eastAsia="Times New Roman" w:cs="Arial"/>
        </w:rPr>
        <w:t xml:space="preserve">: </w:t>
      </w:r>
    </w:p>
    <w:p w14:paraId="13D5CDAF" w14:textId="77777777" w:rsidR="00662168" w:rsidRPr="00662168" w:rsidRDefault="00662168" w:rsidP="00662168">
      <w:pPr>
        <w:spacing w:before="100" w:beforeAutospacing="1" w:after="100" w:afterAutospacing="1"/>
        <w:jc w:val="center"/>
        <w:rPr>
          <w:rFonts w:eastAsia="Times New Roman" w:cs="Times New Roman"/>
        </w:rPr>
      </w:pPr>
      <w:r w:rsidRPr="00662168">
        <w:rPr>
          <w:rFonts w:eastAsia="Times New Roman" w:cs="Arial"/>
        </w:rPr>
        <w:t>HHI  </w:t>
      </w:r>
      <w:proofErr w:type="gramStart"/>
      <w:r w:rsidRPr="00662168">
        <w:rPr>
          <w:rFonts w:eastAsia="Times New Roman" w:cs="Arial"/>
        </w:rPr>
        <w:t>=  s</w:t>
      </w:r>
      <w:r w:rsidRPr="00662168">
        <w:rPr>
          <w:rFonts w:eastAsia="Times New Roman" w:cs="Arial"/>
          <w:vertAlign w:val="subscript"/>
        </w:rPr>
        <w:t>1</w:t>
      </w:r>
      <w:r w:rsidRPr="00662168">
        <w:rPr>
          <w:rFonts w:eastAsia="Times New Roman" w:cs="Arial"/>
          <w:vertAlign w:val="superscript"/>
        </w:rPr>
        <w:t>2</w:t>
      </w:r>
      <w:proofErr w:type="gramEnd"/>
      <w:r w:rsidRPr="00662168">
        <w:rPr>
          <w:rFonts w:eastAsia="Times New Roman" w:cs="Arial"/>
        </w:rPr>
        <w:t>  +  s</w:t>
      </w:r>
      <w:r w:rsidRPr="00662168">
        <w:rPr>
          <w:rFonts w:eastAsia="Times New Roman" w:cs="Arial"/>
          <w:vertAlign w:val="subscript"/>
        </w:rPr>
        <w:t>2</w:t>
      </w:r>
      <w:r w:rsidRPr="00662168">
        <w:rPr>
          <w:rFonts w:eastAsia="Times New Roman" w:cs="Arial"/>
          <w:vertAlign w:val="superscript"/>
        </w:rPr>
        <w:t>2</w:t>
      </w:r>
      <w:r w:rsidRPr="00662168">
        <w:rPr>
          <w:rFonts w:eastAsia="Times New Roman" w:cs="Arial"/>
        </w:rPr>
        <w:t>  +  s</w:t>
      </w:r>
      <w:r w:rsidRPr="00662168">
        <w:rPr>
          <w:rFonts w:eastAsia="Times New Roman" w:cs="Arial"/>
          <w:vertAlign w:val="subscript"/>
        </w:rPr>
        <w:t>3</w:t>
      </w:r>
      <w:r w:rsidRPr="00662168">
        <w:rPr>
          <w:rFonts w:eastAsia="Times New Roman" w:cs="Arial"/>
          <w:vertAlign w:val="superscript"/>
        </w:rPr>
        <w:t>2</w:t>
      </w:r>
      <w:r w:rsidRPr="00662168">
        <w:rPr>
          <w:rFonts w:eastAsia="Times New Roman" w:cs="Arial"/>
        </w:rPr>
        <w:t>  +  ... ... +  s</w:t>
      </w:r>
      <w:r w:rsidRPr="00662168">
        <w:rPr>
          <w:rFonts w:eastAsia="Times New Roman" w:cs="Arial"/>
          <w:i/>
          <w:iCs/>
          <w:vertAlign w:val="subscript"/>
        </w:rPr>
        <w:t>n</w:t>
      </w:r>
      <w:r w:rsidRPr="00662168">
        <w:rPr>
          <w:rFonts w:eastAsia="Times New Roman" w:cs="Arial"/>
          <w:vertAlign w:val="superscript"/>
        </w:rPr>
        <w:t>2</w:t>
      </w:r>
      <w:r w:rsidRPr="00662168">
        <w:rPr>
          <w:rFonts w:eastAsia="Times New Roman" w:cs="Arial"/>
        </w:rPr>
        <w:t xml:space="preserve"> </w:t>
      </w:r>
      <w:r w:rsidR="0005369C" w:rsidRPr="009440B2">
        <w:rPr>
          <w:rFonts w:eastAsia="Times New Roman" w:cs="Arial"/>
        </w:rPr>
        <w:t>.</w:t>
      </w:r>
    </w:p>
    <w:p w14:paraId="0C406EBF" w14:textId="2D477C13" w:rsidR="00662168" w:rsidRPr="00662168" w:rsidRDefault="0005369C" w:rsidP="00662168">
      <w:pPr>
        <w:spacing w:before="100" w:beforeAutospacing="1" w:after="100" w:afterAutospacing="1"/>
        <w:rPr>
          <w:rFonts w:eastAsia="Times New Roman" w:cs="Times New Roman"/>
        </w:rPr>
      </w:pPr>
      <w:r w:rsidRPr="009440B2">
        <w:rPr>
          <w:rFonts w:eastAsia="Times New Roman" w:cs="Arial"/>
        </w:rPr>
        <w:t>Note that, u</w:t>
      </w:r>
      <w:r w:rsidR="00662168" w:rsidRPr="00662168">
        <w:rPr>
          <w:rFonts w:eastAsia="Times New Roman" w:cs="Arial"/>
        </w:rPr>
        <w:t>nlike</w:t>
      </w:r>
      <w:r w:rsidRPr="009440B2">
        <w:rPr>
          <w:rFonts w:eastAsia="Times New Roman" w:cs="Arial"/>
        </w:rPr>
        <w:t xml:space="preserve"> </w:t>
      </w:r>
      <w:proofErr w:type="spellStart"/>
      <w:r w:rsidRPr="00662168">
        <w:rPr>
          <w:rFonts w:eastAsia="Times New Roman" w:cs="Arial"/>
        </w:rPr>
        <w:t>CR</w:t>
      </w:r>
      <w:r w:rsidRPr="00662168">
        <w:rPr>
          <w:rFonts w:eastAsia="Times New Roman" w:cs="Arial"/>
          <w:i/>
          <w:iCs/>
          <w:vertAlign w:val="subscript"/>
        </w:rPr>
        <w:t>m</w:t>
      </w:r>
      <w:proofErr w:type="spellEnd"/>
      <w:r w:rsidR="00662168" w:rsidRPr="00662168">
        <w:rPr>
          <w:rFonts w:eastAsia="Times New Roman" w:cs="Arial"/>
        </w:rPr>
        <w:t xml:space="preserve"> </w:t>
      </w:r>
      <w:r w:rsidRPr="009440B2">
        <w:rPr>
          <w:rFonts w:eastAsia="Times New Roman" w:cs="Arial"/>
        </w:rPr>
        <w:t>measures,</w:t>
      </w:r>
      <w:r w:rsidR="00662168" w:rsidRPr="00662168">
        <w:rPr>
          <w:rFonts w:eastAsia="Times New Roman" w:cs="Arial"/>
        </w:rPr>
        <w:t xml:space="preserve"> HHI change</w:t>
      </w:r>
      <w:r w:rsidRPr="009440B2">
        <w:rPr>
          <w:rFonts w:eastAsia="Times New Roman" w:cs="Arial"/>
        </w:rPr>
        <w:t xml:space="preserve">s as the distribution of market share among largest firms </w:t>
      </w:r>
      <w:r w:rsidR="00662168" w:rsidRPr="00662168">
        <w:rPr>
          <w:rFonts w:eastAsia="Times New Roman" w:cs="Arial"/>
        </w:rPr>
        <w:t>shift</w:t>
      </w:r>
      <w:r w:rsidRPr="009440B2">
        <w:rPr>
          <w:rFonts w:eastAsia="Times New Roman" w:cs="Arial"/>
        </w:rPr>
        <w:t>s</w:t>
      </w:r>
      <w:r w:rsidR="00662168" w:rsidRPr="00662168">
        <w:rPr>
          <w:rFonts w:eastAsia="Times New Roman" w:cs="Arial"/>
        </w:rPr>
        <w:t xml:space="preserve">. </w:t>
      </w:r>
      <w:r w:rsidRPr="009440B2">
        <w:rPr>
          <w:rFonts w:eastAsia="Times New Roman" w:cs="Arial"/>
        </w:rPr>
        <w:t>Note that HHI=0 would represent perfect competition, while HHI=10000 (=100</w:t>
      </w:r>
      <w:r w:rsidRPr="009440B2">
        <w:rPr>
          <w:rFonts w:eastAsia="Times New Roman" w:cs="Arial"/>
          <w:vertAlign w:val="superscript"/>
        </w:rPr>
        <w:t>2</w:t>
      </w:r>
      <w:r w:rsidRPr="009440B2">
        <w:rPr>
          <w:rFonts w:eastAsia="Times New Roman" w:cs="Arial"/>
        </w:rPr>
        <w:t>) reflects pure monopoly. As a crude rule of thumb</w:t>
      </w:r>
      <w:r w:rsidR="006A41F1">
        <w:rPr>
          <w:rFonts w:eastAsia="Times New Roman" w:cs="Arial"/>
        </w:rPr>
        <w:t>,</w:t>
      </w:r>
      <w:r w:rsidRPr="009440B2">
        <w:rPr>
          <w:rFonts w:eastAsia="Times New Roman" w:cs="Arial"/>
        </w:rPr>
        <w:t xml:space="preserve"> HHI&lt;1000 is typically taken to indicate a very competitive market, while HHI&gt;2000 is generally thought to reflect a market subject to imperfect competition. </w:t>
      </w:r>
      <w:r w:rsidR="006A41F1">
        <w:rPr>
          <w:rFonts w:eastAsia="Times New Roman" w:cs="Arial"/>
        </w:rPr>
        <w:t>A</w:t>
      </w:r>
      <w:r w:rsidRPr="009440B2">
        <w:rPr>
          <w:rFonts w:eastAsia="Times New Roman" w:cs="Arial"/>
        </w:rPr>
        <w:t xml:space="preserve"> market </w:t>
      </w:r>
      <w:r w:rsidR="006A41F1">
        <w:rPr>
          <w:rFonts w:eastAsia="Times New Roman" w:cs="Arial"/>
        </w:rPr>
        <w:t>in which</w:t>
      </w:r>
      <w:r w:rsidR="006A41F1" w:rsidRPr="009440B2">
        <w:rPr>
          <w:rFonts w:eastAsia="Times New Roman" w:cs="Arial"/>
        </w:rPr>
        <w:t xml:space="preserve"> </w:t>
      </w:r>
      <w:r w:rsidRPr="009440B2">
        <w:rPr>
          <w:rFonts w:eastAsia="Times New Roman" w:cs="Arial"/>
        </w:rPr>
        <w:t xml:space="preserve">the four largest firms </w:t>
      </w:r>
      <w:r w:rsidR="006A41F1">
        <w:rPr>
          <w:rFonts w:eastAsia="Times New Roman" w:cs="Arial"/>
        </w:rPr>
        <w:t>have</w:t>
      </w:r>
      <w:r w:rsidR="006A41F1" w:rsidRPr="009440B2">
        <w:rPr>
          <w:rFonts w:eastAsia="Times New Roman" w:cs="Arial"/>
        </w:rPr>
        <w:t xml:space="preserve"> </w:t>
      </w:r>
      <w:r w:rsidRPr="009440B2">
        <w:rPr>
          <w:rFonts w:eastAsia="Times New Roman" w:cs="Arial"/>
        </w:rPr>
        <w:t xml:space="preserve">45-5-5-5 shares (and making the simplifying assumption that the remaining 40% share is split evenly among 20 smaller </w:t>
      </w:r>
      <w:r w:rsidR="00F811D0">
        <w:rPr>
          <w:rFonts w:eastAsia="Times New Roman" w:cs="Arial"/>
        </w:rPr>
        <w:t>firms) would have a rather high</w:t>
      </w:r>
      <w:r w:rsidRPr="009440B2">
        <w:rPr>
          <w:rFonts w:eastAsia="Times New Roman" w:cs="Arial"/>
        </w:rPr>
        <w:t xml:space="preserve"> HHI=45</w:t>
      </w:r>
      <w:r w:rsidRPr="009440B2">
        <w:rPr>
          <w:rFonts w:eastAsia="Times New Roman" w:cs="Arial"/>
          <w:vertAlign w:val="superscript"/>
        </w:rPr>
        <w:t>2</w:t>
      </w:r>
      <w:r w:rsidRPr="009440B2">
        <w:rPr>
          <w:rFonts w:eastAsia="Times New Roman" w:cs="Arial"/>
        </w:rPr>
        <w:t>+3*5</w:t>
      </w:r>
      <w:r w:rsidRPr="009440B2">
        <w:rPr>
          <w:rFonts w:eastAsia="Times New Roman" w:cs="Arial"/>
          <w:vertAlign w:val="superscript"/>
        </w:rPr>
        <w:t>2</w:t>
      </w:r>
      <w:r w:rsidRPr="009440B2">
        <w:rPr>
          <w:rFonts w:eastAsia="Times New Roman" w:cs="Arial"/>
        </w:rPr>
        <w:t>+20*2</w:t>
      </w:r>
      <w:r w:rsidRPr="009440B2">
        <w:rPr>
          <w:rFonts w:eastAsia="Times New Roman" w:cs="Arial"/>
          <w:vertAlign w:val="superscript"/>
        </w:rPr>
        <w:t>2</w:t>
      </w:r>
      <w:r w:rsidRPr="009440B2">
        <w:rPr>
          <w:rFonts w:eastAsia="Times New Roman" w:cs="Arial"/>
        </w:rPr>
        <w:t xml:space="preserve">=2180, while </w:t>
      </w:r>
      <w:r w:rsidR="006A41F1">
        <w:rPr>
          <w:rFonts w:eastAsia="Times New Roman" w:cs="Arial"/>
        </w:rPr>
        <w:t>a market with</w:t>
      </w:r>
      <w:r w:rsidRPr="009440B2">
        <w:rPr>
          <w:rFonts w:eastAsia="Times New Roman" w:cs="Arial"/>
        </w:rPr>
        <w:t xml:space="preserve"> the same CR</w:t>
      </w:r>
      <w:r w:rsidRPr="009440B2">
        <w:rPr>
          <w:rFonts w:eastAsia="Times New Roman" w:cs="Arial"/>
          <w:vertAlign w:val="subscript"/>
        </w:rPr>
        <w:t>4</w:t>
      </w:r>
      <w:r w:rsidRPr="009440B2">
        <w:rPr>
          <w:rFonts w:eastAsia="Times New Roman" w:cs="Arial"/>
        </w:rPr>
        <w:t>=60</w:t>
      </w:r>
      <w:r w:rsidR="006A41F1">
        <w:rPr>
          <w:rFonts w:eastAsia="Times New Roman" w:cs="Arial"/>
        </w:rPr>
        <w:t>, but in which the four largest firms have equal market share,</w:t>
      </w:r>
      <w:r w:rsidRPr="009440B2">
        <w:rPr>
          <w:rFonts w:eastAsia="Times New Roman" w:cs="Arial"/>
        </w:rPr>
        <w:t xml:space="preserve"> would have a non-alarming HHI=4*15</w:t>
      </w:r>
      <w:r w:rsidRPr="009440B2">
        <w:rPr>
          <w:rFonts w:eastAsia="Times New Roman" w:cs="Arial"/>
          <w:vertAlign w:val="superscript"/>
        </w:rPr>
        <w:t>2</w:t>
      </w:r>
      <w:r w:rsidRPr="009440B2">
        <w:rPr>
          <w:rFonts w:eastAsia="Times New Roman" w:cs="Arial"/>
        </w:rPr>
        <w:t>+20*2</w:t>
      </w:r>
      <w:r w:rsidRPr="009440B2">
        <w:rPr>
          <w:rFonts w:eastAsia="Times New Roman" w:cs="Arial"/>
          <w:vertAlign w:val="superscript"/>
        </w:rPr>
        <w:t>2</w:t>
      </w:r>
      <w:r w:rsidRPr="009440B2">
        <w:rPr>
          <w:rFonts w:eastAsia="Times New Roman" w:cs="Arial"/>
        </w:rPr>
        <w:t xml:space="preserve">=980. </w:t>
      </w:r>
      <w:r w:rsidR="006A41F1">
        <w:rPr>
          <w:rFonts w:eastAsia="Times New Roman" w:cs="Arial"/>
        </w:rPr>
        <w:t>This example shows</w:t>
      </w:r>
      <w:r w:rsidR="006A41F1" w:rsidRPr="009440B2">
        <w:rPr>
          <w:rFonts w:eastAsia="Times New Roman" w:cs="Arial"/>
        </w:rPr>
        <w:t xml:space="preserve"> </w:t>
      </w:r>
      <w:r w:rsidRPr="009440B2">
        <w:rPr>
          <w:rFonts w:eastAsia="Times New Roman" w:cs="Arial"/>
        </w:rPr>
        <w:t>the value of</w:t>
      </w:r>
      <w:r w:rsidR="006A41F1">
        <w:rPr>
          <w:rFonts w:eastAsia="Times New Roman" w:cs="Arial"/>
        </w:rPr>
        <w:t xml:space="preserve"> having</w:t>
      </w:r>
      <w:r w:rsidRPr="009440B2">
        <w:rPr>
          <w:rFonts w:eastAsia="Times New Roman" w:cs="Arial"/>
        </w:rPr>
        <w:t xml:space="preserve"> a more complete picture of the firm size distribution in </w:t>
      </w:r>
      <w:r w:rsidR="006A41F1">
        <w:rPr>
          <w:rFonts w:eastAsia="Times New Roman" w:cs="Arial"/>
        </w:rPr>
        <w:t>a</w:t>
      </w:r>
      <w:r w:rsidR="006A41F1" w:rsidRPr="009440B2">
        <w:rPr>
          <w:rFonts w:eastAsia="Times New Roman" w:cs="Arial"/>
        </w:rPr>
        <w:t xml:space="preserve"> </w:t>
      </w:r>
      <w:r w:rsidRPr="009440B2">
        <w:rPr>
          <w:rFonts w:eastAsia="Times New Roman" w:cs="Arial"/>
        </w:rPr>
        <w:t>marketing channel</w:t>
      </w:r>
      <w:r w:rsidR="006A41F1">
        <w:rPr>
          <w:rFonts w:eastAsia="Times New Roman" w:cs="Arial"/>
        </w:rPr>
        <w:t>, although to do so</w:t>
      </w:r>
      <w:r w:rsidRPr="009440B2">
        <w:rPr>
          <w:rFonts w:eastAsia="Times New Roman" w:cs="Arial"/>
        </w:rPr>
        <w:t xml:space="preserve"> one </w:t>
      </w:r>
      <w:r w:rsidR="006A41F1">
        <w:rPr>
          <w:rFonts w:eastAsia="Times New Roman" w:cs="Arial"/>
        </w:rPr>
        <w:t>needs to</w:t>
      </w:r>
      <w:r w:rsidRPr="009440B2">
        <w:rPr>
          <w:rFonts w:eastAsia="Times New Roman" w:cs="Arial"/>
        </w:rPr>
        <w:t xml:space="preserve"> get a reasonably complete enumeration</w:t>
      </w:r>
      <w:r w:rsidR="006A41F1">
        <w:rPr>
          <w:rFonts w:eastAsia="Times New Roman" w:cs="Arial"/>
        </w:rPr>
        <w:t xml:space="preserve"> of the market</w:t>
      </w:r>
      <w:r w:rsidRPr="009440B2">
        <w:rPr>
          <w:rFonts w:eastAsia="Times New Roman" w:cs="Arial"/>
        </w:rPr>
        <w:t xml:space="preserve"> (which may involve innocuous simplifying assumptions about the smaller half of the distribution, such as we just made). </w:t>
      </w:r>
    </w:p>
    <w:p w14:paraId="1EE54365" w14:textId="6C349851" w:rsidR="009440B2" w:rsidRDefault="009440B2" w:rsidP="00786DF8">
      <w:r>
        <w:t>If the</w:t>
      </w:r>
      <w:r w:rsidR="00304BEB">
        <w:t xml:space="preserve"> </w:t>
      </w:r>
      <w:r w:rsidR="00304BEB" w:rsidRPr="00662168">
        <w:rPr>
          <w:rFonts w:eastAsia="Times New Roman" w:cs="Arial"/>
        </w:rPr>
        <w:t>CR</w:t>
      </w:r>
      <w:r w:rsidR="00304BEB">
        <w:rPr>
          <w:rFonts w:eastAsia="Times New Roman" w:cs="Arial"/>
          <w:vertAlign w:val="subscript"/>
        </w:rPr>
        <w:t>4</w:t>
      </w:r>
      <w:r w:rsidR="00304BEB">
        <w:t xml:space="preserve"> or </w:t>
      </w:r>
      <w:r w:rsidR="009C4B64">
        <w:t xml:space="preserve">the </w:t>
      </w:r>
      <w:r w:rsidR="00304BEB" w:rsidRPr="00662168">
        <w:rPr>
          <w:rFonts w:eastAsia="Times New Roman" w:cs="Arial"/>
          <w:bCs/>
        </w:rPr>
        <w:t>HHI</w:t>
      </w:r>
      <w:r>
        <w:t xml:space="preserve"> suggests the market may be oligopolistic, one then explores why. First, are there increasing returns to scale or scope in the marketing channel? In more capital-intensive market niches, such as motorized transport, mechanized milling or </w:t>
      </w:r>
      <w:proofErr w:type="spellStart"/>
      <w:r>
        <w:t>interseasonal</w:t>
      </w:r>
      <w:proofErr w:type="spellEnd"/>
      <w:r>
        <w:t xml:space="preserve"> storage, there is often a minimum efficient scale (MES) of operation. This can often be estimated through key informant discussions. A simple estimate of total market size/MES gives one a crude figure of the maximum number </w:t>
      </w:r>
      <w:r>
        <w:lastRenderedPageBreak/>
        <w:t xml:space="preserve">of reasonably efficient firms the market can sustain in equilibrium. When </w:t>
      </w:r>
      <w:r w:rsidR="00D37DF4">
        <w:t xml:space="preserve">the </w:t>
      </w:r>
      <w:r>
        <w:t xml:space="preserve">number is low, high concentration may be explained purely by the market’s limited size (and </w:t>
      </w:r>
      <w:r w:rsidR="00A82A78">
        <w:t xml:space="preserve">limited </w:t>
      </w:r>
      <w:r>
        <w:t>integration with other markets) relative to the capital requirements of traders.</w:t>
      </w:r>
    </w:p>
    <w:p w14:paraId="5C574165" w14:textId="77777777" w:rsidR="009440B2" w:rsidRDefault="009440B2" w:rsidP="00786DF8"/>
    <w:p w14:paraId="1A74B961" w14:textId="2C86550F" w:rsidR="00D15FE3" w:rsidRDefault="009440B2" w:rsidP="00786DF8">
      <w:r>
        <w:t xml:space="preserve">If MES does not explain apparently high concentration in the market, then it’s helpful to try to identify the entry or mobility barriers that might explain it. Some agencies may want to try to address the source of market power when </w:t>
      </w:r>
      <w:r w:rsidR="0063062F">
        <w:t>i</w:t>
      </w:r>
      <w:r w:rsidR="00304BEB">
        <w:t>t</w:t>
      </w:r>
      <w:r w:rsidR="0063062F">
        <w:t xml:space="preserve"> </w:t>
      </w:r>
      <w:r w:rsidR="004614F7">
        <w:t xml:space="preserve">is attributable </w:t>
      </w:r>
      <w:r>
        <w:t xml:space="preserve">to remediable entry barriers (e.g., available transport capacity or transactional credit). </w:t>
      </w:r>
      <w:r w:rsidR="004614F7">
        <w:t>T</w:t>
      </w:r>
      <w:r>
        <w:t xml:space="preserve">he reason for limited firm entry or mobility </w:t>
      </w:r>
      <w:r w:rsidR="004614F7">
        <w:t>can provide</w:t>
      </w:r>
      <w:r>
        <w:t xml:space="preserve"> important clues as to likely price response</w:t>
      </w:r>
      <w:r w:rsidR="004614F7">
        <w:t>s</w:t>
      </w:r>
      <w:r>
        <w:t xml:space="preserve"> to demand or supply shocks associated with the distribution of cash, vouchers or food or large-scale procurement of food aid. </w:t>
      </w:r>
      <w:r w:rsidR="00D15FE3">
        <w:t xml:space="preserve"> </w:t>
      </w:r>
    </w:p>
    <w:p w14:paraId="0AF8711E" w14:textId="77777777" w:rsidR="00786DF8" w:rsidRDefault="00786DF8" w:rsidP="00786DF8"/>
    <w:p w14:paraId="78184C2F" w14:textId="77777777" w:rsidR="00967B4D" w:rsidRPr="009C4B64" w:rsidRDefault="00967B4D" w:rsidP="00634482">
      <w:pPr>
        <w:pStyle w:val="ListParagraph"/>
        <w:numPr>
          <w:ilvl w:val="0"/>
          <w:numId w:val="7"/>
        </w:numPr>
        <w:rPr>
          <w:i/>
          <w:u w:val="single"/>
        </w:rPr>
      </w:pPr>
      <w:r w:rsidRPr="009C4B64">
        <w:rPr>
          <w:i/>
          <w:u w:val="single"/>
        </w:rPr>
        <w:t>Conduct</w:t>
      </w:r>
    </w:p>
    <w:p w14:paraId="572FA16E" w14:textId="47A9F14F" w:rsidR="00D15FE3" w:rsidRDefault="00D15FE3" w:rsidP="009440B2">
      <w:r>
        <w:t xml:space="preserve">If market structure analysis raises concerns about the possibility of noncompetitive behavior, the next step is to explore firm </w:t>
      </w:r>
      <w:r>
        <w:t xml:space="preserve">conduct.  </w:t>
      </w:r>
      <w:r w:rsidR="004614F7">
        <w:t>During t</w:t>
      </w:r>
      <w:r>
        <w:t xml:space="preserve">he last demand shock, what did the largest traders do? Did they increase throughput volumes? </w:t>
      </w:r>
      <w:proofErr w:type="gramStart"/>
      <w:r>
        <w:t>If not, why not?</w:t>
      </w:r>
      <w:proofErr w:type="gramEnd"/>
      <w:r>
        <w:t xml:space="preserve"> In many developing country food markets, traders are tightly constrained by credit access, security concerns, or the extent of their social network and its ability to access additional product.  </w:t>
      </w:r>
    </w:p>
    <w:p w14:paraId="5950EAA0" w14:textId="77777777" w:rsidR="00D15FE3" w:rsidRDefault="00D15FE3" w:rsidP="009440B2"/>
    <w:p w14:paraId="1045EB06" w14:textId="7647E108" w:rsidR="00D15FE3" w:rsidRDefault="004614F7" w:rsidP="009440B2">
      <w:r>
        <w:t>During the last</w:t>
      </w:r>
      <w:r w:rsidR="00D15FE3">
        <w:t xml:space="preserve"> demand shock, did new traders </w:t>
      </w:r>
      <w:r>
        <w:t xml:space="preserve">enter </w:t>
      </w:r>
      <w:r w:rsidR="00D15FE3">
        <w:t xml:space="preserve">the market?  </w:t>
      </w:r>
      <w:r>
        <w:t>W</w:t>
      </w:r>
      <w:r w:rsidR="00D15FE3">
        <w:t>as their pricing aggressively competitive with the incumbents so as to dampen resulting inflationary pressures? Or</w:t>
      </w:r>
      <w:r>
        <w:t>,</w:t>
      </w:r>
      <w:r w:rsidR="00D15FE3">
        <w:t xml:space="preserve"> </w:t>
      </w:r>
      <w:r>
        <w:t xml:space="preserve">did </w:t>
      </w:r>
      <w:r w:rsidR="00D15FE3">
        <w:t xml:space="preserve">the smaller, newer entrants follow larger incumbents’ price leadership, resulting in de facto coordination and limited competition in spite of entry into the market?  </w:t>
      </w:r>
    </w:p>
    <w:p w14:paraId="6555F20F" w14:textId="77777777" w:rsidR="00D15FE3" w:rsidRDefault="00D15FE3" w:rsidP="009440B2"/>
    <w:p w14:paraId="2D342216" w14:textId="7826224E" w:rsidR="009440B2" w:rsidRDefault="00D15FE3" w:rsidP="009440B2">
      <w:r>
        <w:t xml:space="preserve">Especially where trader networks have strong social ties due to shared ethnicity, religion or social group membership, ample opportunities </w:t>
      </w:r>
      <w:r w:rsidR="002661F3">
        <w:t xml:space="preserve">exist </w:t>
      </w:r>
      <w:r>
        <w:t xml:space="preserve">for </w:t>
      </w:r>
      <w:r w:rsidR="009440B2">
        <w:t>collusion among (especially larger) fir</w:t>
      </w:r>
      <w:r>
        <w:t xml:space="preserve">ms. Thus it </w:t>
      </w:r>
      <w:r w:rsidR="002661F3">
        <w:t>is important</w:t>
      </w:r>
      <w:r>
        <w:t xml:space="preserve"> to gauge trader diversity; are alternative suppliers socially similar and readily able to coordinate among themselves? If so, oligopolistic behavior becomes more of a concern than in similarly concentrated markets where traders come from markedly different groups and appear less able to collude effectively and sustainably in pricing. </w:t>
      </w:r>
    </w:p>
    <w:p w14:paraId="440C6A67" w14:textId="77777777" w:rsidR="00967B4D" w:rsidRDefault="00967B4D" w:rsidP="00786DF8">
      <w:pPr>
        <w:rPr>
          <w:b/>
        </w:rPr>
      </w:pPr>
    </w:p>
    <w:p w14:paraId="2B5AC50A" w14:textId="77777777" w:rsidR="00967B4D" w:rsidRPr="00D83D50" w:rsidRDefault="00967B4D" w:rsidP="00634482">
      <w:pPr>
        <w:pStyle w:val="ListParagraph"/>
        <w:numPr>
          <w:ilvl w:val="0"/>
          <w:numId w:val="7"/>
        </w:numPr>
        <w:rPr>
          <w:i/>
          <w:u w:val="single"/>
        </w:rPr>
      </w:pPr>
      <w:r w:rsidRPr="00D83D50">
        <w:rPr>
          <w:i/>
          <w:u w:val="single"/>
        </w:rPr>
        <w:t>Performance</w:t>
      </w:r>
    </w:p>
    <w:p w14:paraId="5445DF62" w14:textId="523859E2" w:rsidR="00612AAD" w:rsidRDefault="003F68E4" w:rsidP="00612AAD">
      <w:r>
        <w:t>Ultimately, we are most concerned with how the marketing channel in question performs. What are</w:t>
      </w:r>
      <w:r w:rsidR="00A066D2">
        <w:t xml:space="preserve"> the</w:t>
      </w:r>
      <w:r>
        <w:t xml:space="preserve"> prices and profits? </w:t>
      </w:r>
      <w:r w:rsidR="00FA4AB4">
        <w:t xml:space="preserve">In marketing margins analysis, we looked at firm costs and tried to establish </w:t>
      </w:r>
      <w:r w:rsidR="00A066D2">
        <w:t xml:space="preserve">the </w:t>
      </w:r>
      <w:r w:rsidR="00FA4AB4">
        <w:t>profit margins.  But a</w:t>
      </w:r>
      <w:r w:rsidR="00786DF8">
        <w:t xml:space="preserve"> firm’s profit level is not </w:t>
      </w:r>
      <w:r w:rsidR="00FA4AB4">
        <w:t xml:space="preserve">always </w:t>
      </w:r>
      <w:r w:rsidR="00786DF8">
        <w:t xml:space="preserve">a good measure of its market power. </w:t>
      </w:r>
      <w:r w:rsidR="00FA4AB4">
        <w:t>A firm’s</w:t>
      </w:r>
      <w:r w:rsidR="00612AAD">
        <w:t xml:space="preserve"> profits </w:t>
      </w:r>
      <w:r w:rsidR="00FA4AB4">
        <w:t xml:space="preserve">may not be </w:t>
      </w:r>
      <w:r w:rsidR="00612AAD">
        <w:t xml:space="preserve">excessive, </w:t>
      </w:r>
      <w:r w:rsidR="00FA4AB4">
        <w:t xml:space="preserve">even if the prices the firm receives are </w:t>
      </w:r>
      <w:r w:rsidR="00A066D2">
        <w:t>relatively high</w:t>
      </w:r>
      <w:r w:rsidR="00FA4AB4">
        <w:t xml:space="preserve">, because </w:t>
      </w:r>
      <w:r w:rsidR="00612AAD">
        <w:t xml:space="preserve">noncompetitive firms do not face the same cost-reducing pressures and thus exhibit </w:t>
      </w:r>
      <w:r w:rsidR="00FA4AB4">
        <w:t xml:space="preserve">what economists refer to as </w:t>
      </w:r>
      <w:r w:rsidR="00612AAD">
        <w:t xml:space="preserve">“X-inefficiency”. </w:t>
      </w:r>
      <w:r w:rsidR="00FA4AB4">
        <w:t xml:space="preserve">As a result, empirical studies of industrial organization routinely find a much stronger positive relationship </w:t>
      </w:r>
      <w:r w:rsidR="001418ED">
        <w:t xml:space="preserve">between </w:t>
      </w:r>
      <w:r w:rsidR="00FA4AB4">
        <w:t xml:space="preserve">concentration measures </w:t>
      </w:r>
      <w:r w:rsidR="001418ED">
        <w:t>and</w:t>
      </w:r>
      <w:r w:rsidR="00FA4AB4">
        <w:t xml:space="preserve"> prices than </w:t>
      </w:r>
      <w:r w:rsidR="001418ED">
        <w:t>between concentration measures and</w:t>
      </w:r>
      <w:r w:rsidR="007D3881">
        <w:t xml:space="preserve"> </w:t>
      </w:r>
      <w:r w:rsidR="00FA4AB4">
        <w:t xml:space="preserve">profits.  </w:t>
      </w:r>
    </w:p>
    <w:p w14:paraId="179788C6" w14:textId="77777777" w:rsidR="00D15FE3" w:rsidRDefault="00D15FE3" w:rsidP="00612AAD"/>
    <w:p w14:paraId="2B66C310" w14:textId="77777777" w:rsidR="00D15FE3" w:rsidRDefault="00FA4AB4" w:rsidP="00612AAD">
      <w:r>
        <w:t xml:space="preserve">Whether due to higher costs associated with firm-level X-inefficiency or due to higher profit margins, the common result of imperfect competition is higher prices for consumers and faster mark-up (slower mark-down) in the face of demand expansion (contraction).  </w:t>
      </w:r>
    </w:p>
    <w:p w14:paraId="2055F9F5" w14:textId="77777777" w:rsidR="00967B4D" w:rsidRDefault="00967B4D" w:rsidP="00D75830">
      <w:pPr>
        <w:rPr>
          <w:b/>
        </w:rPr>
      </w:pPr>
    </w:p>
    <w:p w14:paraId="1D62E7E0" w14:textId="07BCA5C3" w:rsidR="006E167A" w:rsidRPr="00C04A83" w:rsidRDefault="006E167A" w:rsidP="006E167A">
      <w:pPr>
        <w:rPr>
          <w:i/>
          <w:u w:val="single"/>
        </w:rPr>
      </w:pPr>
      <w:r w:rsidRPr="00C04A83">
        <w:rPr>
          <w:i/>
          <w:u w:val="single"/>
        </w:rPr>
        <w:t>Data requirements</w:t>
      </w:r>
    </w:p>
    <w:p w14:paraId="766634DE" w14:textId="76FB696B" w:rsidR="006E167A" w:rsidRDefault="006E167A" w:rsidP="006E167A">
      <w:pPr>
        <w:rPr>
          <w:rFonts w:ascii="Cambria" w:hAnsi="Cambria"/>
        </w:rPr>
      </w:pPr>
      <w:r>
        <w:rPr>
          <w:rFonts w:ascii="Cambria" w:hAnsi="Cambria"/>
        </w:rPr>
        <w:t>The analytics we introduce next rely on the same data as marketing margins and supply chain analysis,</w:t>
      </w:r>
      <w:r w:rsidR="00A066D2">
        <w:rPr>
          <w:rFonts w:ascii="Cambria" w:hAnsi="Cambria"/>
        </w:rPr>
        <w:t xml:space="preserve"> that is,</w:t>
      </w:r>
      <w:r>
        <w:rPr>
          <w:rFonts w:ascii="Cambria" w:hAnsi="Cambria"/>
        </w:rPr>
        <w:t xml:space="preserve"> d</w:t>
      </w:r>
      <w:r w:rsidRPr="00BD1E9F">
        <w:rPr>
          <w:rFonts w:ascii="Cambria" w:hAnsi="Cambria"/>
        </w:rPr>
        <w:t>ata</w:t>
      </w:r>
      <w:r>
        <w:rPr>
          <w:rFonts w:ascii="Cambria" w:hAnsi="Cambria"/>
        </w:rPr>
        <w:t xml:space="preserve"> collected</w:t>
      </w:r>
      <w:r w:rsidRPr="00BD1E9F">
        <w:rPr>
          <w:rFonts w:ascii="Cambria" w:hAnsi="Cambria"/>
        </w:rPr>
        <w:t xml:space="preserve"> from trader and key informant interviews (e.g., bankers, transporters, importers, governmental officials). </w:t>
      </w:r>
      <w:r>
        <w:rPr>
          <w:rFonts w:ascii="Cambria" w:hAnsi="Cambria"/>
        </w:rPr>
        <w:t xml:space="preserve">As indicated in the last lecture, a crude rule of thumb </w:t>
      </w:r>
      <w:r w:rsidR="00A066D2">
        <w:rPr>
          <w:rFonts w:ascii="Cambria" w:hAnsi="Cambria"/>
        </w:rPr>
        <w:t xml:space="preserve">suggested by </w:t>
      </w:r>
      <w:r w:rsidRPr="00BD1E9F">
        <w:rPr>
          <w:rFonts w:ascii="Cambria" w:hAnsi="Cambria"/>
        </w:rPr>
        <w:t xml:space="preserve">Donovan et al. (2006, p. 34) </w:t>
      </w:r>
      <w:r w:rsidR="00A066D2">
        <w:rPr>
          <w:rFonts w:ascii="Cambria" w:hAnsi="Cambria"/>
        </w:rPr>
        <w:t>stated</w:t>
      </w:r>
      <w:r w:rsidR="00A066D2" w:rsidRPr="00BD1E9F">
        <w:rPr>
          <w:rFonts w:ascii="Cambria" w:hAnsi="Cambria"/>
        </w:rPr>
        <w:t xml:space="preserve"> </w:t>
      </w:r>
      <w:r w:rsidRPr="00BD1E9F">
        <w:rPr>
          <w:rFonts w:ascii="Cambria" w:hAnsi="Cambria"/>
        </w:rPr>
        <w:t>that 10% of traders (and a minimum of 10 traders) should be interviewed in large public (i.e., retail) markets. At the wholesale market level, at least 5 traders should be interviewed in each location (town, city-center etc.).</w:t>
      </w:r>
      <w:r>
        <w:rPr>
          <w:rFonts w:ascii="Cambria" w:hAnsi="Cambria"/>
        </w:rPr>
        <w:t xml:space="preserve"> </w:t>
      </w:r>
      <w:r w:rsidRPr="00BD1E9F">
        <w:rPr>
          <w:rFonts w:ascii="Cambria" w:hAnsi="Cambria"/>
        </w:rPr>
        <w:t>T</w:t>
      </w:r>
      <w:r>
        <w:rPr>
          <w:rFonts w:ascii="Cambria" w:hAnsi="Cambria"/>
        </w:rPr>
        <w:t>hese data are commonly noisy and</w:t>
      </w:r>
      <w:r w:rsidR="00A066D2">
        <w:rPr>
          <w:rFonts w:ascii="Cambria" w:hAnsi="Cambria"/>
        </w:rPr>
        <w:t xml:space="preserve"> benefit from</w:t>
      </w:r>
      <w:r>
        <w:rPr>
          <w:rFonts w:ascii="Cambria" w:hAnsi="Cambria"/>
        </w:rPr>
        <w:t xml:space="preserve"> triangulation with data from </w:t>
      </w:r>
      <w:r w:rsidRPr="00BD1E9F">
        <w:rPr>
          <w:rFonts w:ascii="Cambria" w:hAnsi="Cambria"/>
        </w:rPr>
        <w:t>downstream and upstream market actors</w:t>
      </w:r>
      <w:r>
        <w:rPr>
          <w:rFonts w:ascii="Cambria" w:hAnsi="Cambria"/>
        </w:rPr>
        <w:t xml:space="preserve"> and other sources when time and other resources permit</w:t>
      </w:r>
      <w:r w:rsidRPr="00BD1E9F">
        <w:rPr>
          <w:rFonts w:ascii="Cambria" w:hAnsi="Cambria"/>
        </w:rPr>
        <w:t>.</w:t>
      </w:r>
      <w:r>
        <w:rPr>
          <w:rFonts w:ascii="Cambria" w:hAnsi="Cambria"/>
        </w:rPr>
        <w:t xml:space="preserve"> One can nonetheless typically get a reasonably good qualitative sense of the market just from a sample of careful trader and key informant interviews within the marketing channel. </w:t>
      </w:r>
    </w:p>
    <w:p w14:paraId="4A072734" w14:textId="77777777" w:rsidR="006E167A" w:rsidRDefault="006E167A" w:rsidP="00D75830">
      <w:pPr>
        <w:rPr>
          <w:b/>
        </w:rPr>
      </w:pPr>
    </w:p>
    <w:p w14:paraId="0F77C7CA" w14:textId="13988D03" w:rsidR="00D75830" w:rsidRPr="00C04A83" w:rsidRDefault="00D75830" w:rsidP="00D75830">
      <w:pPr>
        <w:rPr>
          <w:i/>
          <w:u w:val="single"/>
        </w:rPr>
      </w:pPr>
      <w:r w:rsidRPr="00C04A83">
        <w:rPr>
          <w:i/>
          <w:u w:val="single"/>
        </w:rPr>
        <w:t>How to interpret the analytic</w:t>
      </w:r>
    </w:p>
    <w:p w14:paraId="69A0DD49" w14:textId="5D9B4E52" w:rsidR="001D0C82" w:rsidRPr="00FC3AD4" w:rsidRDefault="001D0C82" w:rsidP="001D0C82">
      <w:pPr>
        <w:autoSpaceDE w:val="0"/>
        <w:autoSpaceDN w:val="0"/>
        <w:adjustRightInd w:val="0"/>
        <w:rPr>
          <w:rFonts w:cs="AdvTT3713a231"/>
          <w:color w:val="000000"/>
        </w:rPr>
      </w:pPr>
      <w:r w:rsidRPr="006E167A">
        <w:rPr>
          <w:rFonts w:cs="AdvTT3713a231"/>
          <w:color w:val="131413"/>
        </w:rPr>
        <w:t>Markets with a greater number and variety of traders and with lower concentration (CR</w:t>
      </w:r>
      <w:r w:rsidRPr="00D15FE3">
        <w:rPr>
          <w:rFonts w:cs="AdvTT3713a231"/>
          <w:color w:val="131413"/>
          <w:vertAlign w:val="subscript"/>
        </w:rPr>
        <w:t>4</w:t>
      </w:r>
      <w:r w:rsidRPr="006E167A">
        <w:rPr>
          <w:rFonts w:cs="AdvTT3713a231"/>
          <w:color w:val="131413"/>
        </w:rPr>
        <w:t xml:space="preserve"> or </w:t>
      </w:r>
      <w:r w:rsidR="00D15FE3">
        <w:rPr>
          <w:rFonts w:cs="AdvTT3713a231"/>
          <w:color w:val="131413"/>
        </w:rPr>
        <w:t>HHI</w:t>
      </w:r>
      <w:r w:rsidRPr="006E167A">
        <w:rPr>
          <w:rFonts w:cs="AdvTT3713a231"/>
          <w:color w:val="131413"/>
        </w:rPr>
        <w:t xml:space="preserve">) measures are less likely to be collusive, because it is </w:t>
      </w:r>
      <w:r w:rsidR="00505E7C">
        <w:rPr>
          <w:rFonts w:cs="AdvTT3713a231"/>
          <w:color w:val="131413"/>
        </w:rPr>
        <w:t>relatively hard</w:t>
      </w:r>
      <w:r w:rsidR="00505E7C" w:rsidRPr="006E167A">
        <w:rPr>
          <w:rFonts w:cs="AdvTT3713a231"/>
          <w:color w:val="131413"/>
        </w:rPr>
        <w:t xml:space="preserve"> </w:t>
      </w:r>
      <w:r w:rsidRPr="006E167A">
        <w:rPr>
          <w:rFonts w:cs="AdvTT3713a231"/>
          <w:color w:val="131413"/>
        </w:rPr>
        <w:t xml:space="preserve">for large and disparate groups to organize. In Malawi, Barrett et al. (2009 </w:t>
      </w:r>
      <w:r w:rsidRPr="006E167A">
        <w:rPr>
          <w:rFonts w:cs="AdvTT3713a231"/>
          <w:i/>
          <w:color w:val="131413"/>
        </w:rPr>
        <w:t>Food Security</w:t>
      </w:r>
      <w:r w:rsidRPr="006E167A">
        <w:rPr>
          <w:rFonts w:cs="AdvTT3713a231"/>
          <w:color w:val="131413"/>
        </w:rPr>
        <w:t>) found that while</w:t>
      </w:r>
      <w:r w:rsidR="00505E7C">
        <w:rPr>
          <w:rFonts w:cs="AdvTT3713a231"/>
          <w:color w:val="131413"/>
        </w:rPr>
        <w:t xml:space="preserve"> the maize value chain is </w:t>
      </w:r>
      <w:bookmarkStart w:id="1" w:name="_GoBack"/>
      <w:r w:rsidR="00505E7C">
        <w:rPr>
          <w:rFonts w:cs="AdvTT3713a231"/>
          <w:color w:val="131413"/>
        </w:rPr>
        <w:t xml:space="preserve">populated by a </w:t>
      </w:r>
      <w:r w:rsidRPr="006E167A">
        <w:rPr>
          <w:rFonts w:cs="AdvTT3713a231"/>
          <w:color w:val="131413"/>
        </w:rPr>
        <w:t xml:space="preserve">great diversity of traders, many traders operating at the same scale (e.g., wholesalers or retailers within communities) exhibited quite similar characteristics. </w:t>
      </w:r>
      <w:r w:rsidR="00505E7C">
        <w:rPr>
          <w:rFonts w:cs="AdvTT3713a231"/>
          <w:color w:val="000000"/>
        </w:rPr>
        <w:t>A</w:t>
      </w:r>
      <w:r w:rsidRPr="006E167A">
        <w:rPr>
          <w:rFonts w:cs="AdvTT3713a231"/>
          <w:color w:val="000000"/>
        </w:rPr>
        <w:t xml:space="preserve">lthough markets appeared workably competitive, and thus cash transfers appeared feasible in this context, competition in local markets could worsen rapidly if itinerant and small traders exit </w:t>
      </w:r>
      <w:r w:rsidR="00505E7C">
        <w:rPr>
          <w:rFonts w:cs="AdvTT3713a231"/>
          <w:color w:val="000000"/>
        </w:rPr>
        <w:t xml:space="preserve">the </w:t>
      </w:r>
      <w:r w:rsidRPr="006E167A">
        <w:rPr>
          <w:rFonts w:cs="AdvTT3713a231"/>
          <w:color w:val="000000"/>
        </w:rPr>
        <w:t>market</w:t>
      </w:r>
      <w:r w:rsidR="00FC3AD4">
        <w:rPr>
          <w:rFonts w:cs="AdvTT3713a231"/>
          <w:color w:val="000000"/>
        </w:rPr>
        <w:t xml:space="preserve"> </w:t>
      </w:r>
      <w:r w:rsidRPr="006E167A">
        <w:rPr>
          <w:rFonts w:cs="AdvTT3713a231"/>
          <w:color w:val="000000"/>
        </w:rPr>
        <w:t xml:space="preserve">whether due to their own cash shortages, unanticipated </w:t>
      </w:r>
      <w:bookmarkEnd w:id="1"/>
      <w:r w:rsidRPr="006E167A">
        <w:rPr>
          <w:rFonts w:cs="AdvTT3713a231"/>
          <w:color w:val="000000"/>
        </w:rPr>
        <w:t>predatory behavior by larger traders, or tightening commercial credit, transport and storage markets.</w:t>
      </w:r>
      <w:r w:rsidR="00FC3AD4">
        <w:rPr>
          <w:rFonts w:cs="AdvTT3713a231"/>
          <w:color w:val="000000"/>
        </w:rPr>
        <w:t xml:space="preserve"> Therefore, monitoring competition</w:t>
      </w:r>
      <w:r w:rsidR="00F52A1F">
        <w:rPr>
          <w:rFonts w:cs="AdvTT3713a231"/>
          <w:color w:val="000000"/>
        </w:rPr>
        <w:t>, for example by tracking the types and number of traders operating,</w:t>
      </w:r>
      <w:r w:rsidR="00FC3AD4">
        <w:rPr>
          <w:rFonts w:cs="AdvTT3713a231"/>
          <w:color w:val="000000"/>
        </w:rPr>
        <w:t xml:space="preserve"> would be important for any ongoing transfer</w:t>
      </w:r>
      <w:r w:rsidR="00F52A1F">
        <w:rPr>
          <w:rFonts w:cs="AdvTT3713a231"/>
          <w:color w:val="000000"/>
        </w:rPr>
        <w:t xml:space="preserve"> project</w:t>
      </w:r>
      <w:r w:rsidR="00FC3AD4">
        <w:rPr>
          <w:rFonts w:cs="AdvTT3713a231"/>
          <w:color w:val="000000"/>
        </w:rPr>
        <w:t>.</w:t>
      </w:r>
    </w:p>
    <w:p w14:paraId="5B562CC2" w14:textId="77777777" w:rsidR="001D0C82" w:rsidRPr="006E167A" w:rsidRDefault="001D0C82" w:rsidP="001D0C82">
      <w:pPr>
        <w:autoSpaceDE w:val="0"/>
        <w:autoSpaceDN w:val="0"/>
        <w:adjustRightInd w:val="0"/>
        <w:rPr>
          <w:rFonts w:cs="AdvTT3713a231"/>
          <w:color w:val="131413"/>
        </w:rPr>
      </w:pPr>
    </w:p>
    <w:p w14:paraId="140001B8" w14:textId="2BE3E81A" w:rsidR="001D0C82" w:rsidRDefault="00A0037F" w:rsidP="004C0157">
      <w:pPr>
        <w:rPr>
          <w:rFonts w:cs="AdvTT3713a231"/>
          <w:color w:val="131413"/>
        </w:rPr>
      </w:pPr>
      <w:r>
        <w:rPr>
          <w:rFonts w:cs="AdvTT3713a231"/>
          <w:color w:val="131413"/>
        </w:rPr>
        <w:t>U</w:t>
      </w:r>
      <w:r w:rsidR="004C0157">
        <w:rPr>
          <w:rFonts w:cs="AdvTT3713a231"/>
          <w:color w:val="131413"/>
        </w:rPr>
        <w:t>se s</w:t>
      </w:r>
      <w:r w:rsidR="001D0C82" w:rsidRPr="006E167A">
        <w:rPr>
          <w:rFonts w:cs="AdvTT3713a231"/>
          <w:color w:val="131413"/>
        </w:rPr>
        <w:t xml:space="preserve">upply chain mapping to disaggregate the commodity value chain into distinct functions </w:t>
      </w:r>
      <w:r w:rsidR="001D0C82" w:rsidRPr="006E167A">
        <w:rPr>
          <w:rFonts w:cs="AdvTT3713a231+20"/>
          <w:color w:val="131413"/>
        </w:rPr>
        <w:t xml:space="preserve">– e.g., </w:t>
      </w:r>
      <w:r w:rsidR="001D0C82" w:rsidRPr="006E167A">
        <w:rPr>
          <w:rFonts w:cs="AdvTT3713a231"/>
          <w:color w:val="131413"/>
        </w:rPr>
        <w:t xml:space="preserve">farm-level collection and assembly, wholesaling, transport, milling, </w:t>
      </w:r>
      <w:proofErr w:type="spellStart"/>
      <w:r w:rsidR="001D0C82" w:rsidRPr="006E167A">
        <w:rPr>
          <w:rFonts w:cs="AdvTT3713a231"/>
          <w:color w:val="131413"/>
        </w:rPr>
        <w:t>interseasonal</w:t>
      </w:r>
      <w:proofErr w:type="spellEnd"/>
      <w:r w:rsidR="001D0C82" w:rsidRPr="006E167A">
        <w:rPr>
          <w:rFonts w:cs="AdvTT3713a231"/>
          <w:color w:val="131413"/>
        </w:rPr>
        <w:t xml:space="preserve"> storage, retailing </w:t>
      </w:r>
      <w:r w:rsidR="001D0C82" w:rsidRPr="006E167A">
        <w:rPr>
          <w:rFonts w:cs="AdvTT3713a231+20"/>
          <w:color w:val="131413"/>
        </w:rPr>
        <w:t>– just as we commonly disaggregate the national market into distinct geographic locations, then to look for entry or</w:t>
      </w:r>
      <w:r w:rsidR="001D0C82" w:rsidRPr="006E167A">
        <w:rPr>
          <w:rFonts w:cs="AdvTT3713a231"/>
          <w:color w:val="131413"/>
        </w:rPr>
        <w:t xml:space="preserve"> mobility barriers that inhibit growth in marketing intermediaries’ throughput volume and specific bottlenecks associated with noncompetitive behavior.</w:t>
      </w:r>
    </w:p>
    <w:p w14:paraId="614C0050" w14:textId="77777777" w:rsidR="00A0037F" w:rsidRDefault="00A0037F" w:rsidP="004C0157">
      <w:pPr>
        <w:rPr>
          <w:rFonts w:cs="AdvTT3713a231"/>
          <w:color w:val="131413"/>
        </w:rPr>
      </w:pPr>
    </w:p>
    <w:p w14:paraId="3BB4F938" w14:textId="5CCC452B" w:rsidR="00A0037F" w:rsidRPr="004C0157" w:rsidRDefault="00A0037F" w:rsidP="004C0157">
      <w:r w:rsidRPr="006E167A">
        <w:t xml:space="preserve">In markets where traders </w:t>
      </w:r>
      <w:r>
        <w:t xml:space="preserve">can </w:t>
      </w:r>
      <w:r w:rsidRPr="006E167A">
        <w:t xml:space="preserve">exercise significant market power, as reflected in high </w:t>
      </w:r>
      <w:r w:rsidRPr="006E167A">
        <w:rPr>
          <w:rFonts w:cs="AdvTT3713a231"/>
          <w:color w:val="131413"/>
        </w:rPr>
        <w:t>CR</w:t>
      </w:r>
      <w:r w:rsidRPr="00D15FE3">
        <w:rPr>
          <w:rFonts w:cs="AdvTT3713a231"/>
          <w:color w:val="131413"/>
          <w:vertAlign w:val="subscript"/>
        </w:rPr>
        <w:t>4</w:t>
      </w:r>
      <w:r w:rsidRPr="006E167A">
        <w:rPr>
          <w:rFonts w:cs="AdvTT3713a231"/>
          <w:color w:val="131413"/>
        </w:rPr>
        <w:t xml:space="preserve"> or </w:t>
      </w:r>
      <w:r>
        <w:rPr>
          <w:rFonts w:cs="AdvTT3713a231"/>
          <w:color w:val="131413"/>
        </w:rPr>
        <w:t>HHI</w:t>
      </w:r>
      <w:r w:rsidRPr="006E167A">
        <w:t xml:space="preserve"> measures or readily identifiable entry or mobility barriers,</w:t>
      </w:r>
      <w:r>
        <w:t xml:space="preserve"> monitor these bottlenecks for non-competitive pricing.</w:t>
      </w:r>
    </w:p>
    <w:p w14:paraId="4C7D41EB" w14:textId="77777777" w:rsidR="00D75830" w:rsidRPr="006E167A" w:rsidRDefault="00D75830" w:rsidP="00D75830"/>
    <w:p w14:paraId="7C56C1EA" w14:textId="55DEA888" w:rsidR="00D75830" w:rsidRPr="00CD6290" w:rsidRDefault="00D75830" w:rsidP="00D75830">
      <w:pPr>
        <w:rPr>
          <w:b/>
        </w:rPr>
      </w:pPr>
      <w:r w:rsidRPr="000C37F2">
        <w:rPr>
          <w:i/>
          <w:u w:val="single"/>
        </w:rPr>
        <w:t>Limitations of the analytic</w:t>
      </w:r>
    </w:p>
    <w:p w14:paraId="275A1D47" w14:textId="5A26930C" w:rsidR="002D3936" w:rsidRDefault="003F6236" w:rsidP="002D3936">
      <w:r>
        <w:lastRenderedPageBreak/>
        <w:t>Traders commonly closely guard information on market share</w:t>
      </w:r>
      <w:r w:rsidR="001D0C82">
        <w:t>, so it can be tough to collect precise, quantitative data with which to estimate concentration and related measures of market structure</w:t>
      </w:r>
      <w:r>
        <w:t xml:space="preserve">. </w:t>
      </w:r>
      <w:r w:rsidR="001D0C82">
        <w:t>One must often rely on qualitative assessments and indirect observations (e.g., all the lorries seem to belong to the same firm; there is only one large-scale commercial mill in the area for grinding grain into flour).</w:t>
      </w:r>
    </w:p>
    <w:p w14:paraId="4721FC97" w14:textId="77777777" w:rsidR="002D3936" w:rsidRDefault="002D3936" w:rsidP="00D75830"/>
    <w:p w14:paraId="7DE417DA" w14:textId="0D345908" w:rsidR="006C5DD1" w:rsidRDefault="0033000D" w:rsidP="006C5DD1">
      <w:r>
        <w:t xml:space="preserve">Even then, it can be very difficult to extract reliable information on structure or especially conduct or performance in the value chain.  </w:t>
      </w:r>
      <w:r w:rsidR="00505E7C">
        <w:t>T</w:t>
      </w:r>
      <w:r>
        <w:t xml:space="preserve">he implications for expected price changes are not immediately clear, although when markets are noncompetitive, the rate of price increases is typically half again higher or double the rate under perfect competition due to oligopolistic mark-ups.  </w:t>
      </w:r>
    </w:p>
    <w:p w14:paraId="2499F1AC" w14:textId="1253F503" w:rsidR="00505E7C" w:rsidRDefault="00505E7C" w:rsidP="00D75830"/>
    <w:sectPr w:rsidR="00505E7C" w:rsidSect="00F97E98">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861FA" w14:textId="77777777" w:rsidR="006C7EAF" w:rsidRDefault="006C7EAF" w:rsidP="00277AF3">
      <w:r>
        <w:separator/>
      </w:r>
    </w:p>
  </w:endnote>
  <w:endnote w:type="continuationSeparator" w:id="0">
    <w:p w14:paraId="746B9F4D" w14:textId="77777777" w:rsidR="006C7EAF" w:rsidRDefault="006C7EAF" w:rsidP="0027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dvTT3713a231">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2B90" w14:textId="77777777" w:rsidR="006C7EAF" w:rsidRDefault="006C7EAF" w:rsidP="00FA4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DE239" w14:textId="77777777" w:rsidR="006C7EAF" w:rsidRDefault="006C7EAF" w:rsidP="004B24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A826" w14:textId="77777777" w:rsidR="006C7EAF" w:rsidRDefault="006C7EAF" w:rsidP="00FA4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92C">
      <w:rPr>
        <w:rStyle w:val="PageNumber"/>
        <w:noProof/>
      </w:rPr>
      <w:t>8</w:t>
    </w:r>
    <w:r>
      <w:rPr>
        <w:rStyle w:val="PageNumber"/>
      </w:rPr>
      <w:fldChar w:fldCharType="end"/>
    </w:r>
  </w:p>
  <w:p w14:paraId="678F712D" w14:textId="77777777" w:rsidR="006C7EAF" w:rsidRDefault="006C7EAF" w:rsidP="004B24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B02D" w14:textId="77777777" w:rsidR="006C7EAF" w:rsidRDefault="006C7EAF" w:rsidP="00277AF3">
      <w:r>
        <w:separator/>
      </w:r>
    </w:p>
  </w:footnote>
  <w:footnote w:type="continuationSeparator" w:id="0">
    <w:p w14:paraId="32BD542E" w14:textId="77777777" w:rsidR="006C7EAF" w:rsidRDefault="006C7EAF" w:rsidP="00277AF3">
      <w:r>
        <w:continuationSeparator/>
      </w:r>
    </w:p>
  </w:footnote>
  <w:footnote w:id="1">
    <w:p w14:paraId="069C7C51" w14:textId="577E1FF4" w:rsidR="006C7EAF" w:rsidRPr="00AA05B5" w:rsidRDefault="006C7EAF">
      <w:pPr>
        <w:pStyle w:val="FootnoteText"/>
        <w:rPr>
          <w:sz w:val="22"/>
          <w:szCs w:val="22"/>
        </w:rPr>
      </w:pPr>
      <w:r w:rsidRPr="00AA05B5">
        <w:rPr>
          <w:rStyle w:val="FootnoteReference"/>
          <w:sz w:val="22"/>
          <w:szCs w:val="22"/>
        </w:rPr>
        <w:footnoteRef/>
      </w:r>
      <w:r w:rsidRPr="00AA05B5">
        <w:rPr>
          <w:sz w:val="22"/>
          <w:szCs w:val="22"/>
        </w:rPr>
        <w:t xml:space="preserve"> This discussion will treat imperfect competition purely from the supply side, referring to monopolists (single sellers) and </w:t>
      </w:r>
      <w:proofErr w:type="spellStart"/>
      <w:r w:rsidRPr="00AA05B5">
        <w:rPr>
          <w:sz w:val="22"/>
          <w:szCs w:val="22"/>
        </w:rPr>
        <w:t>oligopolists</w:t>
      </w:r>
      <w:proofErr w:type="spellEnd"/>
      <w:r w:rsidRPr="00AA05B5">
        <w:rPr>
          <w:sz w:val="22"/>
          <w:szCs w:val="22"/>
        </w:rPr>
        <w:t xml:space="preserve"> (small groups of sellers with collective market power).  Analogous problems exist on the demand side when single buyers (</w:t>
      </w:r>
      <w:proofErr w:type="spellStart"/>
      <w:r w:rsidRPr="00AA05B5">
        <w:rPr>
          <w:sz w:val="22"/>
          <w:szCs w:val="22"/>
        </w:rPr>
        <w:t>monopsonists</w:t>
      </w:r>
      <w:proofErr w:type="spellEnd"/>
      <w:r w:rsidRPr="00AA05B5">
        <w:rPr>
          <w:sz w:val="22"/>
          <w:szCs w:val="22"/>
        </w:rPr>
        <w:t xml:space="preserve">) or small groups of </w:t>
      </w:r>
      <w:proofErr w:type="spellStart"/>
      <w:r w:rsidRPr="00AA05B5">
        <w:rPr>
          <w:sz w:val="22"/>
          <w:szCs w:val="22"/>
        </w:rPr>
        <w:t>oligopsonist</w:t>
      </w:r>
      <w:proofErr w:type="spellEnd"/>
      <w:r w:rsidRPr="00AA05B5">
        <w:rPr>
          <w:sz w:val="22"/>
          <w:szCs w:val="22"/>
        </w:rPr>
        <w:t xml:space="preserve"> buyers exercise market power over pricing. In the interests of simplicity, we ignore these demand-side cases of imperfect competition in this lecture.</w:t>
      </w:r>
    </w:p>
  </w:footnote>
  <w:footnote w:id="2">
    <w:p w14:paraId="3C59EC31" w14:textId="77777777" w:rsidR="006C7EAF" w:rsidRPr="00B378D7" w:rsidRDefault="006C7EAF" w:rsidP="00B378D7">
      <w:pPr>
        <w:pStyle w:val="Heading3"/>
        <w:rPr>
          <w:rFonts w:asciiTheme="minorHAnsi" w:hAnsiTheme="minorHAnsi"/>
          <w:b w:val="0"/>
          <w:color w:val="auto"/>
          <w:sz w:val="22"/>
          <w:szCs w:val="22"/>
        </w:rPr>
      </w:pPr>
      <w:r w:rsidRPr="00806374">
        <w:rPr>
          <w:rStyle w:val="FootnoteReference"/>
          <w:rFonts w:asciiTheme="minorHAnsi" w:hAnsiTheme="minorHAnsi"/>
          <w:b w:val="0"/>
          <w:color w:val="auto"/>
          <w:sz w:val="22"/>
          <w:szCs w:val="22"/>
        </w:rPr>
        <w:footnoteRef/>
      </w:r>
      <w:r w:rsidRPr="00806374">
        <w:rPr>
          <w:rFonts w:asciiTheme="minorHAnsi" w:hAnsiTheme="minorHAnsi"/>
          <w:b w:val="0"/>
          <w:color w:val="auto"/>
          <w:sz w:val="22"/>
          <w:szCs w:val="22"/>
        </w:rPr>
        <w:t xml:space="preserve"> Marcel </w:t>
      </w:r>
      <w:proofErr w:type="spellStart"/>
      <w:r w:rsidRPr="00806374">
        <w:rPr>
          <w:rFonts w:asciiTheme="minorHAnsi" w:hAnsiTheme="minorHAnsi"/>
          <w:b w:val="0"/>
          <w:color w:val="auto"/>
          <w:sz w:val="22"/>
          <w:szCs w:val="22"/>
        </w:rPr>
        <w:t>Fafchamps</w:t>
      </w:r>
      <w:proofErr w:type="spellEnd"/>
      <w:r w:rsidRPr="00806374">
        <w:rPr>
          <w:rFonts w:asciiTheme="minorHAnsi" w:hAnsiTheme="minorHAnsi"/>
          <w:b w:val="0"/>
          <w:color w:val="auto"/>
          <w:sz w:val="22"/>
          <w:szCs w:val="22"/>
        </w:rPr>
        <w:t xml:space="preserve">’ excellent 2004 book, </w:t>
      </w:r>
      <w:r w:rsidRPr="00806374">
        <w:rPr>
          <w:rFonts w:asciiTheme="minorHAnsi" w:hAnsiTheme="minorHAnsi"/>
          <w:b w:val="0"/>
          <w:i/>
          <w:color w:val="auto"/>
          <w:sz w:val="22"/>
          <w:szCs w:val="22"/>
        </w:rPr>
        <w:t>Market Institutions in Sub-Saharan Africa</w:t>
      </w:r>
      <w:r w:rsidRPr="00806374">
        <w:rPr>
          <w:rFonts w:asciiTheme="minorHAnsi" w:hAnsiTheme="minorHAnsi"/>
          <w:b w:val="0"/>
          <w:color w:val="auto"/>
          <w:sz w:val="22"/>
          <w:szCs w:val="22"/>
        </w:rPr>
        <w:t>, fo</w:t>
      </w:r>
      <w:r>
        <w:rPr>
          <w:rFonts w:asciiTheme="minorHAnsi" w:hAnsiTheme="minorHAnsi"/>
          <w:b w:val="0"/>
          <w:color w:val="auto"/>
          <w:sz w:val="22"/>
          <w:szCs w:val="22"/>
        </w:rPr>
        <w:t xml:space="preserve">rmalizes many of these points. </w:t>
      </w:r>
    </w:p>
  </w:footnote>
  <w:footnote w:id="3">
    <w:p w14:paraId="60C6F98D" w14:textId="77777777" w:rsidR="006C7EAF" w:rsidRPr="00427E85" w:rsidRDefault="006C7EAF">
      <w:pPr>
        <w:pStyle w:val="FootnoteText"/>
        <w:rPr>
          <w:sz w:val="22"/>
          <w:szCs w:val="22"/>
        </w:rPr>
      </w:pPr>
      <w:r w:rsidRPr="00427E85">
        <w:rPr>
          <w:rStyle w:val="FootnoteReference"/>
          <w:sz w:val="22"/>
          <w:szCs w:val="22"/>
        </w:rPr>
        <w:footnoteRef/>
      </w:r>
      <w:r w:rsidRPr="00427E85">
        <w:rPr>
          <w:sz w:val="22"/>
          <w:szCs w:val="22"/>
        </w:rPr>
        <w:t xml:space="preserve"> For those interested in greater technical depth, the microeconomic theory and industrial organization literatures go into considerable detail on differences between cartels (perfect collusion), </w:t>
      </w:r>
      <w:proofErr w:type="spellStart"/>
      <w:r w:rsidRPr="00427E85">
        <w:rPr>
          <w:sz w:val="22"/>
          <w:szCs w:val="22"/>
        </w:rPr>
        <w:t>Cournot</w:t>
      </w:r>
      <w:proofErr w:type="spellEnd"/>
      <w:r w:rsidRPr="00427E85">
        <w:rPr>
          <w:sz w:val="22"/>
          <w:szCs w:val="22"/>
        </w:rPr>
        <w:t xml:space="preserve"> (quantity-based) competition, Bertrand (price-based) competition, conjectural variations models, and monopolistic competition.   See any graduate microeconomic theory textbook for more detail.</w:t>
      </w:r>
    </w:p>
  </w:footnote>
  <w:footnote w:id="4">
    <w:p w14:paraId="4C6089B0" w14:textId="77777777" w:rsidR="006C7EAF" w:rsidRPr="00786DF8" w:rsidRDefault="006C7EAF">
      <w:pPr>
        <w:pStyle w:val="FootnoteText"/>
        <w:rPr>
          <w:sz w:val="22"/>
          <w:szCs w:val="22"/>
        </w:rPr>
      </w:pPr>
      <w:r w:rsidRPr="00786DF8">
        <w:rPr>
          <w:rStyle w:val="FootnoteReference"/>
          <w:sz w:val="22"/>
          <w:szCs w:val="22"/>
        </w:rPr>
        <w:footnoteRef/>
      </w:r>
      <w:r w:rsidRPr="00786DF8">
        <w:rPr>
          <w:sz w:val="22"/>
          <w:szCs w:val="22"/>
        </w:rPr>
        <w:t xml:space="preserve"> In perfectly contestable markets, price equals average costs (so that profits are zero) and thus marginal costs (so that each firm is in equilibrium), and the number of firms in the market is determined by aggregate demand and the cost-minimizing optimal scale for each firm</w:t>
      </w:r>
      <w:r>
        <w:rPr>
          <w:sz w:val="22"/>
          <w:szCs w:val="22"/>
        </w:rPr>
        <w:t>.  This can yield any number of firms in the market</w:t>
      </w:r>
      <w:r w:rsidRPr="00786DF8">
        <w:rPr>
          <w:sz w:val="22"/>
          <w:szCs w:val="22"/>
        </w:rPr>
        <w:t xml:space="preserve">. </w:t>
      </w:r>
      <w:r>
        <w:rPr>
          <w:sz w:val="22"/>
          <w:szCs w:val="22"/>
        </w:rPr>
        <w:t xml:space="preserve"> </w:t>
      </w:r>
    </w:p>
  </w:footnote>
  <w:footnote w:id="5">
    <w:p w14:paraId="2E8EFB42" w14:textId="77777777" w:rsidR="006C7EAF" w:rsidRPr="00786DF8" w:rsidRDefault="006C7EAF">
      <w:pPr>
        <w:pStyle w:val="FootnoteText"/>
        <w:rPr>
          <w:sz w:val="22"/>
          <w:szCs w:val="22"/>
        </w:rPr>
      </w:pPr>
      <w:r w:rsidRPr="00786DF8">
        <w:rPr>
          <w:rStyle w:val="FootnoteReference"/>
          <w:sz w:val="22"/>
          <w:szCs w:val="22"/>
        </w:rPr>
        <w:footnoteRef/>
      </w:r>
      <w:r w:rsidRPr="00786DF8">
        <w:rPr>
          <w:sz w:val="22"/>
          <w:szCs w:val="22"/>
        </w:rPr>
        <w:t xml:space="preserve"> Fred Scherer’s classic 1980 text, </w:t>
      </w:r>
      <w:r w:rsidRPr="00786DF8">
        <w:rPr>
          <w:i/>
          <w:sz w:val="22"/>
          <w:szCs w:val="22"/>
        </w:rPr>
        <w:t>Industrial Market Structure and Economic Performance</w:t>
      </w:r>
      <w:r w:rsidRPr="00786DF8">
        <w:rPr>
          <w:sz w:val="22"/>
          <w:szCs w:val="22"/>
        </w:rPr>
        <w:t xml:space="preserve">, is a reasonably accessible reference for the general theory and methods of the structure-conduct-performance paradigm.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50"/>
    <w:multiLevelType w:val="hybridMultilevel"/>
    <w:tmpl w:val="49E2BFC2"/>
    <w:lvl w:ilvl="0" w:tplc="274CD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249A6"/>
    <w:multiLevelType w:val="hybridMultilevel"/>
    <w:tmpl w:val="EAEABD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81287"/>
    <w:multiLevelType w:val="hybridMultilevel"/>
    <w:tmpl w:val="771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F58D9"/>
    <w:multiLevelType w:val="hybridMultilevel"/>
    <w:tmpl w:val="BAB2C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027546"/>
    <w:multiLevelType w:val="hybridMultilevel"/>
    <w:tmpl w:val="951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66A2F"/>
    <w:multiLevelType w:val="hybridMultilevel"/>
    <w:tmpl w:val="DA3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60C7C"/>
    <w:multiLevelType w:val="hybridMultilevel"/>
    <w:tmpl w:val="235A91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30"/>
    <w:rsid w:val="00040F37"/>
    <w:rsid w:val="00051C28"/>
    <w:rsid w:val="0005369C"/>
    <w:rsid w:val="000544F9"/>
    <w:rsid w:val="00073E31"/>
    <w:rsid w:val="000A0CC2"/>
    <w:rsid w:val="000B2B3F"/>
    <w:rsid w:val="000C03AB"/>
    <w:rsid w:val="000C37F2"/>
    <w:rsid w:val="000C4D69"/>
    <w:rsid w:val="00111241"/>
    <w:rsid w:val="001269A8"/>
    <w:rsid w:val="001418ED"/>
    <w:rsid w:val="00157D97"/>
    <w:rsid w:val="001C07EB"/>
    <w:rsid w:val="001D0C82"/>
    <w:rsid w:val="00235BC2"/>
    <w:rsid w:val="002661F3"/>
    <w:rsid w:val="00277AF3"/>
    <w:rsid w:val="0029495C"/>
    <w:rsid w:val="002D3936"/>
    <w:rsid w:val="002E2778"/>
    <w:rsid w:val="00304BEB"/>
    <w:rsid w:val="00325B55"/>
    <w:rsid w:val="0033000D"/>
    <w:rsid w:val="003C78BC"/>
    <w:rsid w:val="003D3FFA"/>
    <w:rsid w:val="003F6236"/>
    <w:rsid w:val="003F68E4"/>
    <w:rsid w:val="00415FD6"/>
    <w:rsid w:val="004240C3"/>
    <w:rsid w:val="00427E85"/>
    <w:rsid w:val="004574C5"/>
    <w:rsid w:val="004614F7"/>
    <w:rsid w:val="004B2424"/>
    <w:rsid w:val="004B4DD3"/>
    <w:rsid w:val="004C0157"/>
    <w:rsid w:val="004E04B3"/>
    <w:rsid w:val="004E62AF"/>
    <w:rsid w:val="00505E7C"/>
    <w:rsid w:val="00510E4A"/>
    <w:rsid w:val="005154A8"/>
    <w:rsid w:val="00526FA3"/>
    <w:rsid w:val="00536012"/>
    <w:rsid w:val="005475D2"/>
    <w:rsid w:val="00574D8F"/>
    <w:rsid w:val="00575FCD"/>
    <w:rsid w:val="005832F5"/>
    <w:rsid w:val="0060245B"/>
    <w:rsid w:val="00612AAD"/>
    <w:rsid w:val="0063062F"/>
    <w:rsid w:val="00634482"/>
    <w:rsid w:val="0065330D"/>
    <w:rsid w:val="00662168"/>
    <w:rsid w:val="0066492C"/>
    <w:rsid w:val="00692D25"/>
    <w:rsid w:val="006A223C"/>
    <w:rsid w:val="006A41F1"/>
    <w:rsid w:val="006C5DD1"/>
    <w:rsid w:val="006C6646"/>
    <w:rsid w:val="006C7EAF"/>
    <w:rsid w:val="006E167A"/>
    <w:rsid w:val="00716614"/>
    <w:rsid w:val="00732984"/>
    <w:rsid w:val="00774496"/>
    <w:rsid w:val="00781AC6"/>
    <w:rsid w:val="00786DF8"/>
    <w:rsid w:val="007A0964"/>
    <w:rsid w:val="007D3881"/>
    <w:rsid w:val="00806374"/>
    <w:rsid w:val="0081609C"/>
    <w:rsid w:val="0082658A"/>
    <w:rsid w:val="00834347"/>
    <w:rsid w:val="00866965"/>
    <w:rsid w:val="008A2F78"/>
    <w:rsid w:val="008D5AB8"/>
    <w:rsid w:val="008D6CB7"/>
    <w:rsid w:val="008E5654"/>
    <w:rsid w:val="008F188F"/>
    <w:rsid w:val="00931D74"/>
    <w:rsid w:val="009440B2"/>
    <w:rsid w:val="00965565"/>
    <w:rsid w:val="00967B4D"/>
    <w:rsid w:val="00992120"/>
    <w:rsid w:val="009A7639"/>
    <w:rsid w:val="009B384C"/>
    <w:rsid w:val="009C4B64"/>
    <w:rsid w:val="00A0037F"/>
    <w:rsid w:val="00A01689"/>
    <w:rsid w:val="00A066D2"/>
    <w:rsid w:val="00A25499"/>
    <w:rsid w:val="00A33B6E"/>
    <w:rsid w:val="00A82A78"/>
    <w:rsid w:val="00AA05B5"/>
    <w:rsid w:val="00AB596E"/>
    <w:rsid w:val="00AC2C8C"/>
    <w:rsid w:val="00AC74EC"/>
    <w:rsid w:val="00B11312"/>
    <w:rsid w:val="00B27234"/>
    <w:rsid w:val="00B27B68"/>
    <w:rsid w:val="00B378D7"/>
    <w:rsid w:val="00B45AC2"/>
    <w:rsid w:val="00B73B64"/>
    <w:rsid w:val="00BD1E9F"/>
    <w:rsid w:val="00BE3D55"/>
    <w:rsid w:val="00BE7F31"/>
    <w:rsid w:val="00BF1F86"/>
    <w:rsid w:val="00C04A83"/>
    <w:rsid w:val="00C0565D"/>
    <w:rsid w:val="00C60534"/>
    <w:rsid w:val="00C66713"/>
    <w:rsid w:val="00C8120E"/>
    <w:rsid w:val="00C92F8D"/>
    <w:rsid w:val="00CA0B0F"/>
    <w:rsid w:val="00D15FE3"/>
    <w:rsid w:val="00D359BA"/>
    <w:rsid w:val="00D36B1A"/>
    <w:rsid w:val="00D37DF4"/>
    <w:rsid w:val="00D75830"/>
    <w:rsid w:val="00D83D50"/>
    <w:rsid w:val="00DB0E05"/>
    <w:rsid w:val="00DD544B"/>
    <w:rsid w:val="00DF21DA"/>
    <w:rsid w:val="00E42A06"/>
    <w:rsid w:val="00E47555"/>
    <w:rsid w:val="00E707D8"/>
    <w:rsid w:val="00E94E44"/>
    <w:rsid w:val="00E952CC"/>
    <w:rsid w:val="00EB35F6"/>
    <w:rsid w:val="00EB538F"/>
    <w:rsid w:val="00ED6AEC"/>
    <w:rsid w:val="00EF43FE"/>
    <w:rsid w:val="00EF4D43"/>
    <w:rsid w:val="00F15C96"/>
    <w:rsid w:val="00F512F6"/>
    <w:rsid w:val="00F52A1F"/>
    <w:rsid w:val="00F811D0"/>
    <w:rsid w:val="00F81283"/>
    <w:rsid w:val="00F97E98"/>
    <w:rsid w:val="00FA4AB4"/>
    <w:rsid w:val="00FC3AD4"/>
    <w:rsid w:val="00FD3E29"/>
    <w:rsid w:val="00FE0A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6B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30"/>
    <w:rPr>
      <w:sz w:val="24"/>
      <w:szCs w:val="24"/>
    </w:rPr>
  </w:style>
  <w:style w:type="paragraph" w:styleId="Heading1">
    <w:name w:val="heading 1"/>
    <w:basedOn w:val="Normal"/>
    <w:next w:val="Normal"/>
    <w:link w:val="Heading1Char"/>
    <w:uiPriority w:val="9"/>
    <w:qFormat/>
    <w:rsid w:val="00D758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758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758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3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75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75830"/>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D75830"/>
    <w:rPr>
      <w:rFonts w:ascii="Lucida Grande" w:hAnsi="Lucida Grande"/>
      <w:sz w:val="18"/>
      <w:szCs w:val="18"/>
    </w:rPr>
  </w:style>
  <w:style w:type="character" w:customStyle="1" w:styleId="BalloonTextChar">
    <w:name w:val="Balloon Text Char"/>
    <w:basedOn w:val="DefaultParagraphFont"/>
    <w:uiPriority w:val="99"/>
    <w:semiHidden/>
    <w:rsid w:val="00D75830"/>
    <w:rPr>
      <w:rFonts w:ascii="Lucida Grande" w:hAnsi="Lucida Grande"/>
      <w:sz w:val="18"/>
      <w:szCs w:val="18"/>
    </w:rPr>
  </w:style>
  <w:style w:type="table" w:styleId="TableGrid">
    <w:name w:val="Table Grid"/>
    <w:basedOn w:val="TableNormal"/>
    <w:uiPriority w:val="59"/>
    <w:rsid w:val="00D75830"/>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5830"/>
    <w:pPr>
      <w:ind w:left="720"/>
      <w:contextualSpacing/>
    </w:pPr>
  </w:style>
  <w:style w:type="character" w:styleId="Hyperlink">
    <w:name w:val="Hyperlink"/>
    <w:basedOn w:val="DefaultParagraphFont"/>
    <w:rsid w:val="00D75830"/>
    <w:rPr>
      <w:color w:val="0000FF"/>
      <w:u w:val="single"/>
    </w:rPr>
  </w:style>
  <w:style w:type="character" w:styleId="HTMLCite">
    <w:name w:val="HTML Cite"/>
    <w:basedOn w:val="DefaultParagraphFont"/>
    <w:uiPriority w:val="99"/>
    <w:rsid w:val="00D75830"/>
    <w:rPr>
      <w:i/>
    </w:rPr>
  </w:style>
  <w:style w:type="character" w:customStyle="1" w:styleId="BalloonTextChar1">
    <w:name w:val="Balloon Text Char1"/>
    <w:basedOn w:val="DefaultParagraphFont"/>
    <w:link w:val="BalloonText"/>
    <w:uiPriority w:val="99"/>
    <w:semiHidden/>
    <w:rsid w:val="00D75830"/>
    <w:rPr>
      <w:rFonts w:ascii="Lucida Grande" w:hAnsi="Lucida Grande"/>
      <w:sz w:val="18"/>
      <w:szCs w:val="18"/>
    </w:rPr>
  </w:style>
  <w:style w:type="paragraph" w:styleId="Footer">
    <w:name w:val="footer"/>
    <w:basedOn w:val="Normal"/>
    <w:link w:val="FooterChar"/>
    <w:uiPriority w:val="99"/>
    <w:unhideWhenUsed/>
    <w:rsid w:val="00D75830"/>
    <w:pPr>
      <w:tabs>
        <w:tab w:val="center" w:pos="4320"/>
        <w:tab w:val="right" w:pos="8640"/>
      </w:tabs>
    </w:pPr>
  </w:style>
  <w:style w:type="character" w:customStyle="1" w:styleId="FooterChar">
    <w:name w:val="Footer Char"/>
    <w:basedOn w:val="DefaultParagraphFont"/>
    <w:link w:val="Footer"/>
    <w:uiPriority w:val="99"/>
    <w:rsid w:val="00D75830"/>
    <w:rPr>
      <w:sz w:val="24"/>
      <w:szCs w:val="24"/>
    </w:rPr>
  </w:style>
  <w:style w:type="character" w:styleId="PageNumber">
    <w:name w:val="page number"/>
    <w:basedOn w:val="DefaultParagraphFont"/>
    <w:uiPriority w:val="99"/>
    <w:semiHidden/>
    <w:unhideWhenUsed/>
    <w:rsid w:val="00D75830"/>
  </w:style>
  <w:style w:type="paragraph" w:styleId="Header">
    <w:name w:val="header"/>
    <w:basedOn w:val="Normal"/>
    <w:link w:val="HeaderChar"/>
    <w:uiPriority w:val="99"/>
    <w:unhideWhenUsed/>
    <w:rsid w:val="00D75830"/>
    <w:pPr>
      <w:tabs>
        <w:tab w:val="center" w:pos="4320"/>
        <w:tab w:val="right" w:pos="8640"/>
      </w:tabs>
    </w:pPr>
  </w:style>
  <w:style w:type="character" w:customStyle="1" w:styleId="HeaderChar">
    <w:name w:val="Header Char"/>
    <w:basedOn w:val="DefaultParagraphFont"/>
    <w:link w:val="Header"/>
    <w:uiPriority w:val="99"/>
    <w:rsid w:val="00D75830"/>
    <w:rPr>
      <w:sz w:val="24"/>
      <w:szCs w:val="24"/>
    </w:rPr>
  </w:style>
  <w:style w:type="paragraph" w:styleId="TOCHeading">
    <w:name w:val="TOC Heading"/>
    <w:basedOn w:val="Heading1"/>
    <w:next w:val="Normal"/>
    <w:uiPriority w:val="39"/>
    <w:unhideWhenUsed/>
    <w:qFormat/>
    <w:rsid w:val="00D7583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75830"/>
    <w:pPr>
      <w:spacing w:before="120"/>
    </w:pPr>
    <w:rPr>
      <w:rFonts w:asciiTheme="majorHAnsi" w:hAnsiTheme="majorHAnsi"/>
      <w:b/>
      <w:color w:val="548DD4"/>
    </w:rPr>
  </w:style>
  <w:style w:type="paragraph" w:styleId="TOC2">
    <w:name w:val="toc 2"/>
    <w:basedOn w:val="Normal"/>
    <w:next w:val="Normal"/>
    <w:autoRedefine/>
    <w:uiPriority w:val="39"/>
    <w:unhideWhenUsed/>
    <w:rsid w:val="00D75830"/>
    <w:rPr>
      <w:b/>
      <w:sz w:val="22"/>
      <w:szCs w:val="22"/>
    </w:rPr>
  </w:style>
  <w:style w:type="paragraph" w:styleId="TOC3">
    <w:name w:val="toc 3"/>
    <w:basedOn w:val="Normal"/>
    <w:next w:val="Normal"/>
    <w:autoRedefine/>
    <w:uiPriority w:val="39"/>
    <w:semiHidden/>
    <w:unhideWhenUsed/>
    <w:rsid w:val="00D75830"/>
    <w:pPr>
      <w:ind w:left="240"/>
    </w:pPr>
    <w:rPr>
      <w:i/>
      <w:sz w:val="22"/>
      <w:szCs w:val="22"/>
    </w:rPr>
  </w:style>
  <w:style w:type="paragraph" w:styleId="TOC4">
    <w:name w:val="toc 4"/>
    <w:basedOn w:val="Normal"/>
    <w:next w:val="Normal"/>
    <w:autoRedefine/>
    <w:uiPriority w:val="39"/>
    <w:semiHidden/>
    <w:unhideWhenUsed/>
    <w:rsid w:val="00D7583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D7583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D7583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D7583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D7583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D75830"/>
    <w:pPr>
      <w:pBdr>
        <w:between w:val="double" w:sz="6" w:space="0" w:color="auto"/>
      </w:pBdr>
      <w:ind w:left="1680"/>
    </w:pPr>
    <w:rPr>
      <w:sz w:val="20"/>
      <w:szCs w:val="20"/>
    </w:rPr>
  </w:style>
  <w:style w:type="paragraph" w:styleId="FootnoteText">
    <w:name w:val="footnote text"/>
    <w:basedOn w:val="Normal"/>
    <w:link w:val="FootnoteTextChar"/>
    <w:unhideWhenUsed/>
    <w:rsid w:val="00D75830"/>
    <w:rPr>
      <w:rFonts w:ascii="Cambria" w:eastAsia="Cambria" w:hAnsi="Cambria" w:cs="Times New Roman"/>
    </w:rPr>
  </w:style>
  <w:style w:type="character" w:customStyle="1" w:styleId="FootnoteTextChar">
    <w:name w:val="Footnote Text Char"/>
    <w:basedOn w:val="DefaultParagraphFont"/>
    <w:link w:val="FootnoteText"/>
    <w:rsid w:val="00D75830"/>
    <w:rPr>
      <w:rFonts w:ascii="Cambria" w:eastAsia="Cambria" w:hAnsi="Cambria" w:cs="Times New Roman"/>
      <w:sz w:val="24"/>
      <w:szCs w:val="24"/>
    </w:rPr>
  </w:style>
  <w:style w:type="character" w:styleId="FootnoteReference">
    <w:name w:val="footnote reference"/>
    <w:basedOn w:val="DefaultParagraphFont"/>
    <w:unhideWhenUsed/>
    <w:rsid w:val="00D75830"/>
    <w:rPr>
      <w:vertAlign w:val="superscript"/>
    </w:rPr>
  </w:style>
  <w:style w:type="paragraph" w:styleId="NormalWeb">
    <w:name w:val="Normal (Web)"/>
    <w:basedOn w:val="Normal"/>
    <w:uiPriority w:val="99"/>
    <w:rsid w:val="00D75830"/>
    <w:pPr>
      <w:spacing w:beforeLines="1" w:afterLines="1"/>
    </w:pPr>
    <w:rPr>
      <w:rFonts w:ascii="Times" w:hAnsi="Times" w:cs="Times New Roman"/>
      <w:sz w:val="20"/>
      <w:szCs w:val="20"/>
    </w:rPr>
  </w:style>
  <w:style w:type="character" w:customStyle="1" w:styleId="CharChar1">
    <w:name w:val="Char Char1"/>
    <w:basedOn w:val="DefaultParagraphFont"/>
    <w:semiHidden/>
    <w:rsid w:val="00D75830"/>
    <w:rPr>
      <w:lang w:val="en-US" w:eastAsia="en-US" w:bidi="ar-SA"/>
    </w:rPr>
  </w:style>
  <w:style w:type="paragraph" w:customStyle="1" w:styleId="heading">
    <w:name w:val="heading"/>
    <w:basedOn w:val="TOC1"/>
    <w:rsid w:val="00D75830"/>
    <w:rPr>
      <w:rFonts w:ascii="Cambria" w:hAnsi="Cambria"/>
      <w:noProof/>
      <w:u w:val="single"/>
    </w:rPr>
  </w:style>
  <w:style w:type="character" w:styleId="FollowedHyperlink">
    <w:name w:val="FollowedHyperlink"/>
    <w:basedOn w:val="DefaultParagraphFont"/>
    <w:rsid w:val="00D75830"/>
    <w:rPr>
      <w:color w:val="800080" w:themeColor="followedHyperlink"/>
      <w:u w:val="single"/>
    </w:rPr>
  </w:style>
  <w:style w:type="character" w:styleId="Emphasis">
    <w:name w:val="Emphasis"/>
    <w:basedOn w:val="DefaultParagraphFont"/>
    <w:uiPriority w:val="20"/>
    <w:qFormat/>
    <w:rsid w:val="00806374"/>
    <w:rPr>
      <w:i/>
      <w:iCs/>
    </w:rPr>
  </w:style>
  <w:style w:type="character" w:styleId="CommentReference">
    <w:name w:val="annotation reference"/>
    <w:basedOn w:val="DefaultParagraphFont"/>
    <w:uiPriority w:val="99"/>
    <w:semiHidden/>
    <w:unhideWhenUsed/>
    <w:rsid w:val="00866965"/>
    <w:rPr>
      <w:sz w:val="16"/>
      <w:szCs w:val="16"/>
    </w:rPr>
  </w:style>
  <w:style w:type="paragraph" w:styleId="CommentText">
    <w:name w:val="annotation text"/>
    <w:basedOn w:val="Normal"/>
    <w:link w:val="CommentTextChar"/>
    <w:uiPriority w:val="99"/>
    <w:semiHidden/>
    <w:unhideWhenUsed/>
    <w:rsid w:val="00866965"/>
    <w:rPr>
      <w:sz w:val="20"/>
      <w:szCs w:val="20"/>
    </w:rPr>
  </w:style>
  <w:style w:type="character" w:customStyle="1" w:styleId="CommentTextChar">
    <w:name w:val="Comment Text Char"/>
    <w:basedOn w:val="DefaultParagraphFont"/>
    <w:link w:val="CommentText"/>
    <w:uiPriority w:val="99"/>
    <w:semiHidden/>
    <w:rsid w:val="00866965"/>
  </w:style>
  <w:style w:type="paragraph" w:styleId="CommentSubject">
    <w:name w:val="annotation subject"/>
    <w:basedOn w:val="CommentText"/>
    <w:next w:val="CommentText"/>
    <w:link w:val="CommentSubjectChar"/>
    <w:uiPriority w:val="99"/>
    <w:semiHidden/>
    <w:unhideWhenUsed/>
    <w:rsid w:val="00866965"/>
    <w:rPr>
      <w:b/>
      <w:bCs/>
    </w:rPr>
  </w:style>
  <w:style w:type="character" w:customStyle="1" w:styleId="CommentSubjectChar">
    <w:name w:val="Comment Subject Char"/>
    <w:basedOn w:val="CommentTextChar"/>
    <w:link w:val="CommentSubject"/>
    <w:uiPriority w:val="99"/>
    <w:semiHidden/>
    <w:rsid w:val="00866965"/>
    <w:rPr>
      <w:b/>
      <w:bCs/>
    </w:rPr>
  </w:style>
  <w:style w:type="paragraph" w:styleId="Revision">
    <w:name w:val="Revision"/>
    <w:hidden/>
    <w:uiPriority w:val="99"/>
    <w:semiHidden/>
    <w:rsid w:val="00304BE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30"/>
    <w:rPr>
      <w:sz w:val="24"/>
      <w:szCs w:val="24"/>
    </w:rPr>
  </w:style>
  <w:style w:type="paragraph" w:styleId="Heading1">
    <w:name w:val="heading 1"/>
    <w:basedOn w:val="Normal"/>
    <w:next w:val="Normal"/>
    <w:link w:val="Heading1Char"/>
    <w:uiPriority w:val="9"/>
    <w:qFormat/>
    <w:rsid w:val="00D758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758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758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3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75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75830"/>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1"/>
    <w:uiPriority w:val="99"/>
    <w:semiHidden/>
    <w:unhideWhenUsed/>
    <w:rsid w:val="00D75830"/>
    <w:rPr>
      <w:rFonts w:ascii="Lucida Grande" w:hAnsi="Lucida Grande"/>
      <w:sz w:val="18"/>
      <w:szCs w:val="18"/>
    </w:rPr>
  </w:style>
  <w:style w:type="character" w:customStyle="1" w:styleId="BalloonTextChar">
    <w:name w:val="Balloon Text Char"/>
    <w:basedOn w:val="DefaultParagraphFont"/>
    <w:uiPriority w:val="99"/>
    <w:semiHidden/>
    <w:rsid w:val="00D75830"/>
    <w:rPr>
      <w:rFonts w:ascii="Lucida Grande" w:hAnsi="Lucida Grande"/>
      <w:sz w:val="18"/>
      <w:szCs w:val="18"/>
    </w:rPr>
  </w:style>
  <w:style w:type="table" w:styleId="TableGrid">
    <w:name w:val="Table Grid"/>
    <w:basedOn w:val="TableNormal"/>
    <w:uiPriority w:val="59"/>
    <w:rsid w:val="00D75830"/>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5830"/>
    <w:pPr>
      <w:ind w:left="720"/>
      <w:contextualSpacing/>
    </w:pPr>
  </w:style>
  <w:style w:type="character" w:styleId="Hyperlink">
    <w:name w:val="Hyperlink"/>
    <w:basedOn w:val="DefaultParagraphFont"/>
    <w:rsid w:val="00D75830"/>
    <w:rPr>
      <w:color w:val="0000FF"/>
      <w:u w:val="single"/>
    </w:rPr>
  </w:style>
  <w:style w:type="character" w:styleId="HTMLCite">
    <w:name w:val="HTML Cite"/>
    <w:basedOn w:val="DefaultParagraphFont"/>
    <w:uiPriority w:val="99"/>
    <w:rsid w:val="00D75830"/>
    <w:rPr>
      <w:i/>
    </w:rPr>
  </w:style>
  <w:style w:type="character" w:customStyle="1" w:styleId="BalloonTextChar1">
    <w:name w:val="Balloon Text Char1"/>
    <w:basedOn w:val="DefaultParagraphFont"/>
    <w:link w:val="BalloonText"/>
    <w:uiPriority w:val="99"/>
    <w:semiHidden/>
    <w:rsid w:val="00D75830"/>
    <w:rPr>
      <w:rFonts w:ascii="Lucida Grande" w:hAnsi="Lucida Grande"/>
      <w:sz w:val="18"/>
      <w:szCs w:val="18"/>
    </w:rPr>
  </w:style>
  <w:style w:type="paragraph" w:styleId="Footer">
    <w:name w:val="footer"/>
    <w:basedOn w:val="Normal"/>
    <w:link w:val="FooterChar"/>
    <w:uiPriority w:val="99"/>
    <w:unhideWhenUsed/>
    <w:rsid w:val="00D75830"/>
    <w:pPr>
      <w:tabs>
        <w:tab w:val="center" w:pos="4320"/>
        <w:tab w:val="right" w:pos="8640"/>
      </w:tabs>
    </w:pPr>
  </w:style>
  <w:style w:type="character" w:customStyle="1" w:styleId="FooterChar">
    <w:name w:val="Footer Char"/>
    <w:basedOn w:val="DefaultParagraphFont"/>
    <w:link w:val="Footer"/>
    <w:uiPriority w:val="99"/>
    <w:rsid w:val="00D75830"/>
    <w:rPr>
      <w:sz w:val="24"/>
      <w:szCs w:val="24"/>
    </w:rPr>
  </w:style>
  <w:style w:type="character" w:styleId="PageNumber">
    <w:name w:val="page number"/>
    <w:basedOn w:val="DefaultParagraphFont"/>
    <w:uiPriority w:val="99"/>
    <w:semiHidden/>
    <w:unhideWhenUsed/>
    <w:rsid w:val="00D75830"/>
  </w:style>
  <w:style w:type="paragraph" w:styleId="Header">
    <w:name w:val="header"/>
    <w:basedOn w:val="Normal"/>
    <w:link w:val="HeaderChar"/>
    <w:uiPriority w:val="99"/>
    <w:unhideWhenUsed/>
    <w:rsid w:val="00D75830"/>
    <w:pPr>
      <w:tabs>
        <w:tab w:val="center" w:pos="4320"/>
        <w:tab w:val="right" w:pos="8640"/>
      </w:tabs>
    </w:pPr>
  </w:style>
  <w:style w:type="character" w:customStyle="1" w:styleId="HeaderChar">
    <w:name w:val="Header Char"/>
    <w:basedOn w:val="DefaultParagraphFont"/>
    <w:link w:val="Header"/>
    <w:uiPriority w:val="99"/>
    <w:rsid w:val="00D75830"/>
    <w:rPr>
      <w:sz w:val="24"/>
      <w:szCs w:val="24"/>
    </w:rPr>
  </w:style>
  <w:style w:type="paragraph" w:styleId="TOCHeading">
    <w:name w:val="TOC Heading"/>
    <w:basedOn w:val="Heading1"/>
    <w:next w:val="Normal"/>
    <w:uiPriority w:val="39"/>
    <w:unhideWhenUsed/>
    <w:qFormat/>
    <w:rsid w:val="00D7583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75830"/>
    <w:pPr>
      <w:spacing w:before="120"/>
    </w:pPr>
    <w:rPr>
      <w:rFonts w:asciiTheme="majorHAnsi" w:hAnsiTheme="majorHAnsi"/>
      <w:b/>
      <w:color w:val="548DD4"/>
    </w:rPr>
  </w:style>
  <w:style w:type="paragraph" w:styleId="TOC2">
    <w:name w:val="toc 2"/>
    <w:basedOn w:val="Normal"/>
    <w:next w:val="Normal"/>
    <w:autoRedefine/>
    <w:uiPriority w:val="39"/>
    <w:unhideWhenUsed/>
    <w:rsid w:val="00D75830"/>
    <w:rPr>
      <w:b/>
      <w:sz w:val="22"/>
      <w:szCs w:val="22"/>
    </w:rPr>
  </w:style>
  <w:style w:type="paragraph" w:styleId="TOC3">
    <w:name w:val="toc 3"/>
    <w:basedOn w:val="Normal"/>
    <w:next w:val="Normal"/>
    <w:autoRedefine/>
    <w:uiPriority w:val="39"/>
    <w:semiHidden/>
    <w:unhideWhenUsed/>
    <w:rsid w:val="00D75830"/>
    <w:pPr>
      <w:ind w:left="240"/>
    </w:pPr>
    <w:rPr>
      <w:i/>
      <w:sz w:val="22"/>
      <w:szCs w:val="22"/>
    </w:rPr>
  </w:style>
  <w:style w:type="paragraph" w:styleId="TOC4">
    <w:name w:val="toc 4"/>
    <w:basedOn w:val="Normal"/>
    <w:next w:val="Normal"/>
    <w:autoRedefine/>
    <w:uiPriority w:val="39"/>
    <w:semiHidden/>
    <w:unhideWhenUsed/>
    <w:rsid w:val="00D7583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D7583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D7583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D7583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D7583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D75830"/>
    <w:pPr>
      <w:pBdr>
        <w:between w:val="double" w:sz="6" w:space="0" w:color="auto"/>
      </w:pBdr>
      <w:ind w:left="1680"/>
    </w:pPr>
    <w:rPr>
      <w:sz w:val="20"/>
      <w:szCs w:val="20"/>
    </w:rPr>
  </w:style>
  <w:style w:type="paragraph" w:styleId="FootnoteText">
    <w:name w:val="footnote text"/>
    <w:basedOn w:val="Normal"/>
    <w:link w:val="FootnoteTextChar"/>
    <w:unhideWhenUsed/>
    <w:rsid w:val="00D75830"/>
    <w:rPr>
      <w:rFonts w:ascii="Cambria" w:eastAsia="Cambria" w:hAnsi="Cambria" w:cs="Times New Roman"/>
    </w:rPr>
  </w:style>
  <w:style w:type="character" w:customStyle="1" w:styleId="FootnoteTextChar">
    <w:name w:val="Footnote Text Char"/>
    <w:basedOn w:val="DefaultParagraphFont"/>
    <w:link w:val="FootnoteText"/>
    <w:rsid w:val="00D75830"/>
    <w:rPr>
      <w:rFonts w:ascii="Cambria" w:eastAsia="Cambria" w:hAnsi="Cambria" w:cs="Times New Roman"/>
      <w:sz w:val="24"/>
      <w:szCs w:val="24"/>
    </w:rPr>
  </w:style>
  <w:style w:type="character" w:styleId="FootnoteReference">
    <w:name w:val="footnote reference"/>
    <w:basedOn w:val="DefaultParagraphFont"/>
    <w:unhideWhenUsed/>
    <w:rsid w:val="00D75830"/>
    <w:rPr>
      <w:vertAlign w:val="superscript"/>
    </w:rPr>
  </w:style>
  <w:style w:type="paragraph" w:styleId="NormalWeb">
    <w:name w:val="Normal (Web)"/>
    <w:basedOn w:val="Normal"/>
    <w:uiPriority w:val="99"/>
    <w:rsid w:val="00D75830"/>
    <w:pPr>
      <w:spacing w:beforeLines="1" w:afterLines="1"/>
    </w:pPr>
    <w:rPr>
      <w:rFonts w:ascii="Times" w:hAnsi="Times" w:cs="Times New Roman"/>
      <w:sz w:val="20"/>
      <w:szCs w:val="20"/>
    </w:rPr>
  </w:style>
  <w:style w:type="character" w:customStyle="1" w:styleId="CharChar1">
    <w:name w:val="Char Char1"/>
    <w:basedOn w:val="DefaultParagraphFont"/>
    <w:semiHidden/>
    <w:rsid w:val="00D75830"/>
    <w:rPr>
      <w:lang w:val="en-US" w:eastAsia="en-US" w:bidi="ar-SA"/>
    </w:rPr>
  </w:style>
  <w:style w:type="paragraph" w:customStyle="1" w:styleId="heading">
    <w:name w:val="heading"/>
    <w:basedOn w:val="TOC1"/>
    <w:rsid w:val="00D75830"/>
    <w:rPr>
      <w:rFonts w:ascii="Cambria" w:hAnsi="Cambria"/>
      <w:noProof/>
      <w:u w:val="single"/>
    </w:rPr>
  </w:style>
  <w:style w:type="character" w:styleId="FollowedHyperlink">
    <w:name w:val="FollowedHyperlink"/>
    <w:basedOn w:val="DefaultParagraphFont"/>
    <w:rsid w:val="00D75830"/>
    <w:rPr>
      <w:color w:val="800080" w:themeColor="followedHyperlink"/>
      <w:u w:val="single"/>
    </w:rPr>
  </w:style>
  <w:style w:type="character" w:styleId="Emphasis">
    <w:name w:val="Emphasis"/>
    <w:basedOn w:val="DefaultParagraphFont"/>
    <w:uiPriority w:val="20"/>
    <w:qFormat/>
    <w:rsid w:val="00806374"/>
    <w:rPr>
      <w:i/>
      <w:iCs/>
    </w:rPr>
  </w:style>
  <w:style w:type="character" w:styleId="CommentReference">
    <w:name w:val="annotation reference"/>
    <w:basedOn w:val="DefaultParagraphFont"/>
    <w:uiPriority w:val="99"/>
    <w:semiHidden/>
    <w:unhideWhenUsed/>
    <w:rsid w:val="00866965"/>
    <w:rPr>
      <w:sz w:val="16"/>
      <w:szCs w:val="16"/>
    </w:rPr>
  </w:style>
  <w:style w:type="paragraph" w:styleId="CommentText">
    <w:name w:val="annotation text"/>
    <w:basedOn w:val="Normal"/>
    <w:link w:val="CommentTextChar"/>
    <w:uiPriority w:val="99"/>
    <w:semiHidden/>
    <w:unhideWhenUsed/>
    <w:rsid w:val="00866965"/>
    <w:rPr>
      <w:sz w:val="20"/>
      <w:szCs w:val="20"/>
    </w:rPr>
  </w:style>
  <w:style w:type="character" w:customStyle="1" w:styleId="CommentTextChar">
    <w:name w:val="Comment Text Char"/>
    <w:basedOn w:val="DefaultParagraphFont"/>
    <w:link w:val="CommentText"/>
    <w:uiPriority w:val="99"/>
    <w:semiHidden/>
    <w:rsid w:val="00866965"/>
  </w:style>
  <w:style w:type="paragraph" w:styleId="CommentSubject">
    <w:name w:val="annotation subject"/>
    <w:basedOn w:val="CommentText"/>
    <w:next w:val="CommentText"/>
    <w:link w:val="CommentSubjectChar"/>
    <w:uiPriority w:val="99"/>
    <w:semiHidden/>
    <w:unhideWhenUsed/>
    <w:rsid w:val="00866965"/>
    <w:rPr>
      <w:b/>
      <w:bCs/>
    </w:rPr>
  </w:style>
  <w:style w:type="character" w:customStyle="1" w:styleId="CommentSubjectChar">
    <w:name w:val="Comment Subject Char"/>
    <w:basedOn w:val="CommentTextChar"/>
    <w:link w:val="CommentSubject"/>
    <w:uiPriority w:val="99"/>
    <w:semiHidden/>
    <w:rsid w:val="00866965"/>
    <w:rPr>
      <w:b/>
      <w:bCs/>
    </w:rPr>
  </w:style>
  <w:style w:type="paragraph" w:styleId="Revision">
    <w:name w:val="Revision"/>
    <w:hidden/>
    <w:uiPriority w:val="99"/>
    <w:semiHidden/>
    <w:rsid w:val="00304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8505">
      <w:bodyDiv w:val="1"/>
      <w:marLeft w:val="0"/>
      <w:marRight w:val="0"/>
      <w:marTop w:val="0"/>
      <w:marBottom w:val="0"/>
      <w:divBdr>
        <w:top w:val="none" w:sz="0" w:space="0" w:color="auto"/>
        <w:left w:val="none" w:sz="0" w:space="0" w:color="auto"/>
        <w:bottom w:val="none" w:sz="0" w:space="0" w:color="auto"/>
        <w:right w:val="none" w:sz="0" w:space="0" w:color="auto"/>
      </w:divBdr>
    </w:div>
    <w:div w:id="528613592">
      <w:bodyDiv w:val="1"/>
      <w:marLeft w:val="0"/>
      <w:marRight w:val="0"/>
      <w:marTop w:val="0"/>
      <w:marBottom w:val="0"/>
      <w:divBdr>
        <w:top w:val="none" w:sz="0" w:space="0" w:color="auto"/>
        <w:left w:val="none" w:sz="0" w:space="0" w:color="auto"/>
        <w:bottom w:val="none" w:sz="0" w:space="0" w:color="auto"/>
        <w:right w:val="none" w:sz="0" w:space="0" w:color="auto"/>
      </w:divBdr>
    </w:div>
    <w:div w:id="2123378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nford.edu/group/FRI/indonesia/documents/foodpolicy/fronttoc.fm.html" TargetMode="External"/><Relationship Id="rId12" Type="http://schemas.openxmlformats.org/officeDocument/2006/relationships/hyperlink" Target="http://dx.doi.org/10.1016%2FS0305-750X%2896%2900132-5" TargetMode="External"/><Relationship Id="rId13" Type="http://schemas.openxmlformats.org/officeDocument/2006/relationships/image" Target="media/image1.jp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anford.edu/group/FRI/indonesia/documents/foodpolicy/fronttoc.fm.html" TargetMode="External"/><Relationship Id="rId10" Type="http://schemas.openxmlformats.org/officeDocument/2006/relationships/hyperlink" Target="http://dx.doi.org/10.1016%2FS0305-750X%2896%2900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882C0B-8EC5-1744-8762-F55F0C73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2990</Words>
  <Characters>17043</Characters>
  <Application>Microsoft Macintosh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dcterms:created xsi:type="dcterms:W3CDTF">2012-03-26T15:36:00Z</dcterms:created>
  <dcterms:modified xsi:type="dcterms:W3CDTF">2012-03-26T15:36:00Z</dcterms:modified>
</cp:coreProperties>
</file>